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7F56E">
      <w:pPr>
        <w:spacing w:line="460" w:lineRule="exac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附件：</w:t>
      </w:r>
    </w:p>
    <w:p w14:paraId="49D84767">
      <w:pPr>
        <w:adjustRightInd w:val="0"/>
        <w:snapToGrid w:val="0"/>
        <w:spacing w:line="460" w:lineRule="exact"/>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6"/>
          <w:szCs w:val="36"/>
          <w:lang w:eastAsia="zh-CN"/>
        </w:rPr>
        <w:t>超纯水净化系统的采购需求</w:t>
      </w:r>
    </w:p>
    <w:p w14:paraId="49037A67">
      <w:pPr>
        <w:pStyle w:val="179"/>
        <w:rPr>
          <w:lang w:eastAsia="zh-CN"/>
        </w:rPr>
      </w:pPr>
    </w:p>
    <w:p w14:paraId="6CE821E9">
      <w:pPr>
        <w:pStyle w:val="3"/>
        <w:spacing w:before="0" w:after="0" w:line="460" w:lineRule="exact"/>
        <w:ind w:firstLine="560" w:firstLineChars="200"/>
        <w:rPr>
          <w:rFonts w:hint="eastAsia" w:ascii="黑体" w:hAnsi="黑体" w:eastAsia="黑体"/>
          <w:b w:val="0"/>
          <w:bCs w:val="0"/>
          <w:sz w:val="28"/>
          <w:lang w:eastAsia="zh-CN"/>
        </w:rPr>
      </w:pPr>
      <w:bookmarkStart w:id="0" w:name="_Toc239067551"/>
      <w:r>
        <w:rPr>
          <w:rFonts w:hint="eastAsia" w:ascii="黑体" w:hAnsi="黑体" w:eastAsia="黑体"/>
          <w:b w:val="0"/>
          <w:bCs w:val="0"/>
          <w:sz w:val="28"/>
          <w:lang w:val="en-US" w:eastAsia="zh-CN"/>
        </w:rPr>
        <w:t>1.</w:t>
      </w:r>
      <w:r>
        <w:rPr>
          <w:rFonts w:hint="eastAsia" w:ascii="黑体" w:hAnsi="黑体" w:eastAsia="黑体"/>
          <w:b w:val="0"/>
          <w:bCs w:val="0"/>
          <w:sz w:val="28"/>
          <w:lang w:eastAsia="zh-CN"/>
        </w:rPr>
        <w:t>主要用途</w:t>
      </w:r>
    </w:p>
    <w:p w14:paraId="5F606AA0">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超纯水净化系统主要应用于连续制备适用于环境监测实验室各类痕量分析的超纯水。满足ICP-MS、离子色谱（IC）、HPLC、GC-MS等仪器的用水需求，用于地表水、地下水、废水及土壤等环境样品的检测，包括挥发物有机物、阴离子等实验项目测定，以及标准溶液配制、试剂配制、空白对照和仪器载液等全流程用水，有效降低外源污染干扰，保障监测数据准确可靠。</w:t>
      </w:r>
    </w:p>
    <w:p w14:paraId="21627CB4">
      <w:pPr>
        <w:pStyle w:val="3"/>
        <w:spacing w:before="0" w:after="0" w:line="460" w:lineRule="exact"/>
        <w:ind w:firstLine="560" w:firstLineChars="200"/>
        <w:rPr>
          <w:rFonts w:hint="eastAsia" w:ascii="黑体" w:hAnsi="黑体" w:eastAsia="黑体"/>
          <w:b w:val="0"/>
          <w:bCs w:val="0"/>
          <w:sz w:val="28"/>
          <w:lang w:val="en-US" w:eastAsia="zh-CN"/>
        </w:rPr>
      </w:pPr>
      <w:r>
        <w:rPr>
          <w:rFonts w:hint="eastAsia" w:ascii="黑体" w:hAnsi="黑体" w:eastAsia="黑体"/>
          <w:b w:val="0"/>
          <w:bCs w:val="0"/>
          <w:sz w:val="28"/>
          <w:lang w:val="en-US" w:eastAsia="zh-CN"/>
        </w:rPr>
        <w:t>2.适配实验室进水要求</w:t>
      </w:r>
    </w:p>
    <w:p w14:paraId="550CA997">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2.1进水水压：1</w:t>
      </w:r>
      <w:r>
        <w:rPr>
          <w:rFonts w:hint="default" w:ascii="Times New Roman" w:hAnsi="Times New Roman" w:eastAsia="仿宋_GB2312" w:cs="Times New Roman"/>
          <w:sz w:val="28"/>
          <w:szCs w:val="28"/>
          <w:lang w:eastAsia="zh-CN"/>
        </w:rPr>
        <w:t>~</w:t>
      </w:r>
      <w:r>
        <w:rPr>
          <w:rFonts w:hint="eastAsia" w:ascii="仿宋_GB2312" w:hAnsi="仿宋_GB2312" w:eastAsia="仿宋_GB2312" w:cs="仿宋_GB2312"/>
          <w:sz w:val="28"/>
          <w:szCs w:val="28"/>
          <w:lang w:eastAsia="zh-CN"/>
        </w:rPr>
        <w:t>6 bar</w:t>
      </w:r>
    </w:p>
    <w:p w14:paraId="6175333A">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2.2进水水源：EDI水、DI水、RO水</w:t>
      </w:r>
    </w:p>
    <w:p w14:paraId="5ABD21AF">
      <w:pPr>
        <w:pStyle w:val="3"/>
        <w:spacing w:before="0" w:after="0" w:line="460" w:lineRule="exact"/>
        <w:ind w:firstLine="560" w:firstLineChars="200"/>
        <w:rPr>
          <w:rFonts w:hint="eastAsia" w:ascii="黑体" w:hAnsi="黑体" w:eastAsia="黑体"/>
          <w:b w:val="0"/>
          <w:bCs w:val="0"/>
          <w:sz w:val="28"/>
          <w:lang w:eastAsia="zh-CN"/>
        </w:rPr>
      </w:pPr>
      <w:r>
        <w:rPr>
          <w:rFonts w:hint="eastAsia" w:ascii="黑体" w:hAnsi="黑体" w:eastAsia="黑体"/>
          <w:b w:val="0"/>
          <w:bCs w:val="0"/>
          <w:sz w:val="28"/>
          <w:lang w:val="en-US" w:eastAsia="zh-CN"/>
        </w:rPr>
        <w:t>3</w:t>
      </w:r>
      <w:r>
        <w:rPr>
          <w:rFonts w:hint="eastAsia" w:ascii="黑体" w:hAnsi="黑体" w:eastAsia="黑体"/>
          <w:b w:val="0"/>
          <w:bCs w:val="0"/>
          <w:sz w:val="28"/>
          <w:lang w:eastAsia="zh-CN"/>
        </w:rPr>
        <w:t>.技术参数</w:t>
      </w:r>
    </w:p>
    <w:p w14:paraId="270BE228">
      <w:pPr>
        <w:spacing w:line="460" w:lineRule="exact"/>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3.1主机尺寸（WxDxH）≤ 270</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eastAsia="zh-CN"/>
        </w:rPr>
        <w:t>350</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eastAsia="zh-CN"/>
        </w:rPr>
        <w:t>600mm，</w:t>
      </w:r>
    </w:p>
    <w:p w14:paraId="7458703E">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3.2超纯水水质需满足标准</w:t>
      </w:r>
      <w:r>
        <w:rPr>
          <w:rFonts w:hint="eastAsia" w:ascii="仿宋_GB2312" w:hAnsi="仿宋_GB2312" w:eastAsia="仿宋_GB2312" w:cs="仿宋_GB2312"/>
          <w:sz w:val="28"/>
          <w:szCs w:val="28"/>
          <w:lang w:val="en-US" w:eastAsia="zh-CN"/>
        </w:rPr>
        <w:t>《分析实验室用水规格和试验方法》（GB/T6682-2008）中一级水要求</w:t>
      </w:r>
      <w:r>
        <w:rPr>
          <w:rFonts w:hint="eastAsia" w:ascii="仿宋_GB2312" w:hAnsi="仿宋_GB2312" w:eastAsia="仿宋_GB2312" w:cs="仿宋_GB2312"/>
          <w:sz w:val="28"/>
          <w:szCs w:val="28"/>
          <w:lang w:eastAsia="zh-CN"/>
        </w:rPr>
        <w:t>：</w:t>
      </w:r>
    </w:p>
    <w:p w14:paraId="2D1DF933">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3.2.1电阻率（25 °C）：18.2 MΩ·cm </w:t>
      </w:r>
    </w:p>
    <w:p w14:paraId="1964AD44">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3.2.2</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TOC：≤5 ppb</w:t>
      </w:r>
    </w:p>
    <w:p w14:paraId="36236213">
      <w:pPr>
        <w:spacing w:line="4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 xml:space="preserve">    3.2.3 微生物：≤ 10 cfu/L </w:t>
      </w:r>
      <w:r>
        <w:rPr>
          <w:rFonts w:hint="eastAsia" w:ascii="仿宋_GB2312" w:hAnsi="仿宋_GB2312" w:eastAsia="仿宋_GB2312" w:cs="仿宋_GB2312"/>
          <w:sz w:val="28"/>
          <w:szCs w:val="28"/>
          <w:lang w:val="en-US" w:eastAsia="zh-CN"/>
        </w:rPr>
        <w:tab/>
      </w:r>
    </w:p>
    <w:p w14:paraId="4108F62A">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3.2.4 颗粒物：无尺寸&gt;0.22µm的微粒</w:t>
      </w:r>
    </w:p>
    <w:p w14:paraId="439CDA2F">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3.2.5内毒素（热原）：&lt; 0.001 EU/mL </w:t>
      </w:r>
    </w:p>
    <w:p w14:paraId="5E91258E">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3.2.6</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电导率（25 °C）：≤</w:t>
      </w:r>
      <w:r>
        <w:rPr>
          <w:rFonts w:hint="eastAsia" w:ascii="仿宋_GB2312" w:hAnsi="仿宋_GB2312" w:eastAsia="仿宋_GB2312" w:cs="仿宋_GB2312"/>
          <w:sz w:val="28"/>
          <w:szCs w:val="28"/>
          <w:lang w:val="en-US" w:eastAsia="zh-CN"/>
        </w:rPr>
        <w:t>0.01 mS/m</w:t>
      </w:r>
      <w:r>
        <w:rPr>
          <w:rFonts w:hint="eastAsia" w:ascii="仿宋_GB2312" w:hAnsi="仿宋_GB2312" w:eastAsia="仿宋_GB2312" w:cs="仿宋_GB2312"/>
          <w:sz w:val="28"/>
          <w:szCs w:val="28"/>
          <w:lang w:eastAsia="zh-CN"/>
        </w:rPr>
        <w:t xml:space="preserve"> </w:t>
      </w:r>
    </w:p>
    <w:p w14:paraId="2C928A06">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3.2.7 吸光度（</w:t>
      </w:r>
      <w:r>
        <w:rPr>
          <w:rFonts w:hint="eastAsia" w:ascii="仿宋_GB2312" w:hAnsi="仿宋_GB2312" w:eastAsia="仿宋_GB2312" w:cs="仿宋_GB2312"/>
          <w:sz w:val="28"/>
          <w:szCs w:val="28"/>
          <w:lang w:val="en-US" w:eastAsia="zh-CN"/>
        </w:rPr>
        <w:t>254nm,1cm 光程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0.001</w:t>
      </w:r>
      <w:r>
        <w:rPr>
          <w:rFonts w:hint="eastAsia" w:ascii="仿宋_GB2312" w:hAnsi="仿宋_GB2312" w:eastAsia="仿宋_GB2312" w:cs="仿宋_GB2312"/>
          <w:sz w:val="28"/>
          <w:szCs w:val="28"/>
          <w:lang w:eastAsia="zh-CN"/>
        </w:rPr>
        <w:t xml:space="preserve"> </w:t>
      </w:r>
    </w:p>
    <w:p w14:paraId="04D8297F">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3.2.8 可溶性硅（以</w:t>
      </w:r>
      <w:r>
        <w:rPr>
          <w:rFonts w:hint="eastAsia" w:ascii="仿宋_GB2312" w:hAnsi="仿宋_GB2312" w:eastAsia="仿宋_GB2312" w:cs="仿宋_GB2312"/>
          <w:sz w:val="28"/>
          <w:szCs w:val="28"/>
          <w:lang w:val="en-US" w:eastAsia="zh-CN"/>
        </w:rPr>
        <w:t>SiO</w:t>
      </w:r>
      <w:r>
        <w:rPr>
          <w:rFonts w:hint="eastAsia" w:ascii="仿宋_GB2312" w:hAnsi="仿宋_GB2312" w:eastAsia="仿宋_GB2312" w:cs="仿宋_GB2312"/>
          <w:sz w:val="28"/>
          <w:szCs w:val="28"/>
          <w:vertAlign w:val="subscript"/>
          <w:lang w:val="en-US" w:eastAsia="zh-CN"/>
        </w:rPr>
        <w:t>2</w:t>
      </w:r>
      <w:r>
        <w:rPr>
          <w:rFonts w:hint="eastAsia" w:ascii="仿宋_GB2312" w:hAnsi="仿宋_GB2312" w:eastAsia="仿宋_GB2312" w:cs="仿宋_GB2312"/>
          <w:sz w:val="28"/>
          <w:szCs w:val="28"/>
          <w:lang w:val="en-US" w:eastAsia="zh-CN"/>
        </w:rPr>
        <w:t>计</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0.01</w:t>
      </w: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val="en-US" w:eastAsia="zh-CN"/>
        </w:rPr>
        <w:t>m</w:t>
      </w:r>
      <w:r>
        <w:rPr>
          <w:rFonts w:hint="eastAsia" w:ascii="仿宋_GB2312" w:hAnsi="仿宋_GB2312" w:eastAsia="仿宋_GB2312" w:cs="仿宋_GB2312"/>
          <w:sz w:val="28"/>
          <w:szCs w:val="28"/>
          <w:lang w:eastAsia="zh-CN"/>
        </w:rPr>
        <w:t xml:space="preserve">g/L </w:t>
      </w:r>
    </w:p>
    <w:p w14:paraId="0BFAAA5B">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3.2.9双酚A&lt;0.005ppb，地乐酚&lt;0.2 ppb，邻苯二甲酸二辛酯&lt;0.2 ppb，壬基酚&lt;0.1ppb，以满足相关的</w:t>
      </w:r>
      <w:r>
        <w:rPr>
          <w:rFonts w:hint="eastAsia" w:ascii="仿宋_GB2312" w:hAnsi="仿宋_GB2312" w:eastAsia="仿宋_GB2312" w:cs="仿宋_GB2312"/>
          <w:sz w:val="28"/>
          <w:szCs w:val="28"/>
          <w:highlight w:val="none"/>
          <w:lang w:eastAsia="zh-CN"/>
        </w:rPr>
        <w:t>发育生物学实验</w:t>
      </w:r>
      <w:r>
        <w:rPr>
          <w:rFonts w:hint="eastAsia" w:ascii="仿宋_GB2312" w:hAnsi="仿宋_GB2312" w:eastAsia="仿宋_GB2312" w:cs="仿宋_GB2312"/>
          <w:sz w:val="28"/>
          <w:szCs w:val="28"/>
          <w:lang w:eastAsia="zh-CN"/>
        </w:rPr>
        <w:t>应用需求；</w:t>
      </w:r>
    </w:p>
    <w:p w14:paraId="2B403DBC">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3.2.10▲苯&lt;0.05 ppb，三氯甲烷&lt;0.05 ppb，四氯化碳&lt;0.05 ppb，2,2-二氯丙烷&lt;0.05 ppb，溴苯&lt;0.10 ppb，以满足挥发性有机物测试应用需求。</w:t>
      </w:r>
    </w:p>
    <w:p w14:paraId="1FAB772D">
      <w:pPr>
        <w:spacing w:line="460" w:lineRule="exact"/>
        <w:ind w:firstLine="1120" w:firstLineChars="4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3.2.11 ▲HPLC梯度测试-最高洗脱峰吸收：At 210nm&lt;0.006 Au; At 254 nm&lt;0.002 Au(洗脱前，流速为1ml/min是60ml水的浓度)；At 210nm&lt;0.003 Au; At 254 nm&lt;0.001 Au(无水的预浓缩)。以满足UPLC，LC-MS，LC-MS/MS等痕量和超痕量分析用水需求。</w:t>
      </w:r>
    </w:p>
    <w:p w14:paraId="2558573B">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3.3超纯水取水臂</w:t>
      </w:r>
    </w:p>
    <w:p w14:paraId="48931581">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3.3.1标配独立的取水臂，可灵活调节出水口角度避免取水时产生气泡。</w:t>
      </w:r>
    </w:p>
    <w:p w14:paraId="29EA2781">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3.3.2 取水臂支持装于主机上或远离主机挂墙安装，可距离主机最远3米处安装。</w:t>
      </w:r>
    </w:p>
    <w:p w14:paraId="412E995A">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3.3.3取水流速：最高2.0 L/min, 并支持3档流速调节。</w:t>
      </w:r>
    </w:p>
    <w:p w14:paraId="6C23EDAC">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3.3.4含8个预设的定量取水体积和1个自定义取水体积，自定义体积范围：100ml-25L。</w:t>
      </w:r>
    </w:p>
    <w:p w14:paraId="54005C0D">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3.4标配≥7英寸彩色触控屏，可于主机3米范围内任意摆放，也可于远离主机最多3米处挂墙安装。</w:t>
      </w:r>
    </w:p>
    <w:p w14:paraId="0B2DAF09">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3.5显示屏与取水臂采用分离式设计，防止取水臂意外掉落损坏屏幕。</w:t>
      </w:r>
    </w:p>
    <w:p w14:paraId="51F45328">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3.6显示屏可查看系统流路示意图，并于流路图内显示各检测器的动态参数（如压力、温度、电阻率等）以确保机器处于最佳状态。</w:t>
      </w:r>
    </w:p>
    <w:p w14:paraId="460F73CB">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3.7系统配备双纯化柱，内含360μm和600μm的混床离子树脂及高级合成活性炭，用于去除水中的离子和痕量有机污染物。</w:t>
      </w:r>
    </w:p>
    <w:p w14:paraId="48946A0B">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3.8▲纯化柱内含活性炭填料以确保对超纯水中难氧化或残留有机污染物的去除。需提供实物图佐证，并提供带有CMA和CNAS认证的活性炭碘吸附值、亚甲基蓝吸附值的检测报告（要求碘吸附值不低于1000mg/g，亚甲基蓝吸附值不低于9ml/0.1g）。</w:t>
      </w:r>
    </w:p>
    <w:p w14:paraId="02EA6DA9">
      <w:pPr>
        <w:spacing w:line="460" w:lineRule="exact"/>
        <w:ind w:firstLine="560" w:firstLineChars="200"/>
        <w:rPr>
          <w:rFonts w:hint="eastAsia" w:ascii="仿宋_GB2312" w:hAnsi="仿宋_GB2312" w:eastAsia="仿宋_GB2312" w:cs="仿宋_GB2312"/>
          <w:i/>
          <w:iCs/>
          <w:sz w:val="28"/>
          <w:szCs w:val="28"/>
          <w:u w:val="single"/>
          <w:lang w:eastAsia="zh-CN"/>
        </w:rPr>
      </w:pPr>
      <w:r>
        <w:rPr>
          <w:rFonts w:hint="eastAsia" w:ascii="仿宋_GB2312" w:hAnsi="仿宋_GB2312" w:eastAsia="仿宋_GB2312" w:cs="仿宋_GB2312"/>
          <w:sz w:val="28"/>
          <w:szCs w:val="28"/>
          <w:lang w:eastAsia="zh-CN"/>
        </w:rPr>
        <w:t>3.9▲系统的管路、接头、弯头、连接器、密封圈采用PE（聚乙烯）、POM（聚氧化甲基）、EPDM（三元乙丙橡胶）等耐热、耐腐蚀、耐氧化、低吸水率、良好绝缘性的材料。</w:t>
      </w:r>
      <w:r>
        <w:rPr>
          <w:rFonts w:hint="eastAsia" w:ascii="仿宋_GB2312" w:hAnsi="仿宋_GB2312" w:eastAsia="仿宋_GB2312" w:cs="仿宋_GB2312"/>
          <w:i/>
          <w:iCs/>
          <w:sz w:val="28"/>
          <w:szCs w:val="28"/>
          <w:u w:val="single"/>
          <w:lang w:eastAsia="zh-CN"/>
        </w:rPr>
        <w:t>（需提供相关材料说明佐证）</w:t>
      </w:r>
    </w:p>
    <w:p w14:paraId="6B067D9C">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3.10纯化柱带有无线射频识别芯片，到达使用期限后机器自动提示更换，并图文指导更换操作。</w:t>
      </w:r>
    </w:p>
    <w:p w14:paraId="610DD6F6">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3.11▲可提供≥</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种与主机同品牌的终端过滤器，满足不同实验的水质要求：去除内分泌干扰物,0.22µm除菌除颗粒，去除挥发性有机物，痕量/超痕量有机物分析用。</w:t>
      </w:r>
    </w:p>
    <w:p w14:paraId="6872F97D">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3.12所有终端过滤器带有无线射频识别芯片，系统可自动识别类型和使用状态；到达使用期限后机器自动提示更换，并图文指导更换操作。</w:t>
      </w:r>
    </w:p>
    <w:p w14:paraId="33BC524F">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w:t>
      </w:r>
      <w:bookmarkStart w:id="1" w:name="_GoBack"/>
      <w:bookmarkEnd w:id="1"/>
      <w:r>
        <w:rPr>
          <w:rFonts w:hint="eastAsia" w:ascii="仿宋_GB2312" w:hAnsi="仿宋_GB2312" w:eastAsia="仿宋_GB2312" w:cs="仿宋_GB2312"/>
          <w:sz w:val="28"/>
          <w:szCs w:val="28"/>
          <w:lang w:eastAsia="zh-CN"/>
        </w:rPr>
        <w:t>.13系统内置高精度电阻率检测仪，电极常数为0.01cm</w:t>
      </w:r>
      <w:r>
        <w:rPr>
          <w:rFonts w:hint="eastAsia" w:ascii="仿宋_GB2312" w:hAnsi="仿宋_GB2312" w:eastAsia="仿宋_GB2312" w:cs="仿宋_GB2312"/>
          <w:sz w:val="28"/>
          <w:szCs w:val="28"/>
          <w:vertAlign w:val="superscript"/>
          <w:lang w:eastAsia="zh-CN"/>
        </w:rPr>
        <w:t>-1</w:t>
      </w:r>
      <w:r>
        <w:rPr>
          <w:rFonts w:hint="eastAsia" w:ascii="仿宋_GB2312" w:hAnsi="仿宋_GB2312" w:eastAsia="仿宋_GB2312" w:cs="仿宋_GB2312"/>
          <w:sz w:val="28"/>
          <w:szCs w:val="28"/>
          <w:lang w:eastAsia="zh-CN"/>
        </w:rPr>
        <w:t>，温度灵敏度达到0.1℃，投标需提供电阻率校准证书佐证。</w:t>
      </w:r>
    </w:p>
    <w:p w14:paraId="48990757">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3.14▲系统内置在线TOC指示器，每次取水后都会及时测量相应的TOC值，检测范围包含1-999ppb。</w:t>
      </w:r>
    </w:p>
    <w:p w14:paraId="2B763408">
      <w:pPr>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3.15系统所有报告可通过USB端口导出，并且其打开格式适用于所有LIMS（实验室信息管理系统），存档功能支持质量管理系统。系统可以存储长达2年的水质数据。</w:t>
      </w:r>
    </w:p>
    <w:p w14:paraId="54EE6A9A">
      <w:pPr>
        <w:pStyle w:val="3"/>
        <w:spacing w:before="0" w:after="0" w:line="460" w:lineRule="exact"/>
        <w:ind w:firstLine="560" w:firstLineChars="200"/>
        <w:rPr>
          <w:rFonts w:hint="eastAsia" w:ascii="黑体" w:hAnsi="黑体" w:eastAsia="黑体"/>
          <w:b w:val="0"/>
          <w:bCs w:val="0"/>
          <w:sz w:val="28"/>
          <w:lang w:eastAsia="zh-CN"/>
        </w:rPr>
      </w:pPr>
      <w:r>
        <w:rPr>
          <w:rFonts w:hint="eastAsia" w:ascii="黑体" w:hAnsi="黑体" w:eastAsia="黑体"/>
          <w:b w:val="0"/>
          <w:bCs w:val="0"/>
          <w:sz w:val="28"/>
          <w:lang w:eastAsia="zh-CN"/>
        </w:rPr>
        <w:t>5.售后服务</w:t>
      </w:r>
    </w:p>
    <w:p w14:paraId="19BC40AA">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4.1供货期限：合同签订后</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lang w:eastAsia="zh-CN"/>
        </w:rPr>
        <w:t>天。</w:t>
      </w:r>
    </w:p>
    <w:p w14:paraId="7E30C43C">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4.2质保：设备质保期一年，验收通过之日起算。</w:t>
      </w:r>
    </w:p>
    <w:p w14:paraId="1C3D84A2">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4.3售后：</w:t>
      </w:r>
    </w:p>
    <w:p w14:paraId="6368E09E">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(1)响应时间：在接到用户电话或书面通知后2小时内给予答复，紧急问题应在24小时内抵达现场。</w:t>
      </w:r>
    </w:p>
    <w:p w14:paraId="55BB4949">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(2)技术服务的范围及内容：卖方须到买方提供的现场免费进行安装调试，进行操作试验，直至运行正常，确保仪器技术指标验收合格。</w:t>
      </w:r>
    </w:p>
    <w:p w14:paraId="5AA4B97A">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(3)对用户仪器操作人员提供免费的操作及现场维护培训。</w:t>
      </w:r>
    </w:p>
    <w:p w14:paraId="2E1DD5B6">
      <w:pPr>
        <w:widowControl w:val="0"/>
        <w:spacing w:line="4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三、其他须知事项</w:t>
      </w:r>
    </w:p>
    <w:p w14:paraId="52241EF3">
      <w:pPr>
        <w:widowControl w:val="0"/>
        <w:spacing w:line="460" w:lineRule="exact"/>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异常低价的甄别</w:t>
      </w:r>
    </w:p>
    <w:p w14:paraId="13EAD868">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投标（响应）报价出现下列情形之一的，甲方应当启动异常低价投标（响应）审查程序：</w:t>
      </w:r>
    </w:p>
    <w:p w14:paraId="2FDBD11E">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①投标（响应）报价低于全部通过符合性审查供应商投标（响应）报价平均值</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lang w:eastAsia="zh-CN"/>
        </w:rPr>
        <w:t>%的，即投标（响应）报价&lt;全部通过符合性审查供应商投标（响应）报价平均值×</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lang w:eastAsia="zh-CN"/>
        </w:rPr>
        <w:t>%；</w:t>
      </w:r>
    </w:p>
    <w:p w14:paraId="28AE2489">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②投标（响应）报价低于通过符合性审查的次低报价供应商投标（响应）报价</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lang w:eastAsia="zh-CN"/>
        </w:rPr>
        <w:t>%的，即投标（响应）报价&lt;通过符合性审查的次低报价供应商投标（响应）报价×</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lang w:eastAsia="zh-CN"/>
        </w:rPr>
        <w:t>%；</w:t>
      </w:r>
    </w:p>
    <w:p w14:paraId="2DFC8DDF">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③投标（响应）报价低于采购项目最高限价45%的，即投标（响应）报价&lt;采购项目最高限价×45%；</w:t>
      </w:r>
    </w:p>
    <w:p w14:paraId="7249ED97">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④评审委员会基于专业判断，认为供应商报价过低，有可能影响产品质量或者不能诚信履约的其他情形。</w:t>
      </w:r>
    </w:p>
    <w:p w14:paraId="3B835787">
      <w:pPr>
        <w:widowControl w:val="0"/>
        <w:spacing w:line="4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14:paraId="25CE50EC">
      <w:pPr>
        <w:pStyle w:val="3"/>
        <w:spacing w:before="0" w:after="0" w:line="460" w:lineRule="exact"/>
        <w:ind w:firstLine="562" w:firstLineChars="200"/>
        <w:rPr>
          <w:rFonts w:hint="eastAsia" w:ascii="黑体" w:hAnsi="黑体" w:eastAsia="黑体" w:cs="黑体"/>
          <w:b w:val="0"/>
          <w:bCs w:val="0"/>
          <w:sz w:val="28"/>
          <w:lang w:eastAsia="zh-CN"/>
        </w:rPr>
      </w:pPr>
      <w:r>
        <w:rPr>
          <w:rFonts w:hint="eastAsia" w:ascii="仿宋_GB2312" w:hAnsi="仿宋_GB2312" w:eastAsia="仿宋_GB2312" w:cs="仿宋_GB2312"/>
          <w:sz w:val="28"/>
          <w:lang w:eastAsia="zh-CN"/>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48D7AF4">
      <w:pPr>
        <w:widowControl w:val="0"/>
        <w:spacing w:line="460" w:lineRule="exact"/>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eastAsia="zh-CN"/>
        </w:rPr>
        <w:t>四、</w:t>
      </w:r>
      <w:bookmarkEnd w:id="0"/>
      <w:r>
        <w:rPr>
          <w:rFonts w:hint="eastAsia" w:ascii="黑体" w:hAnsi="黑体" w:eastAsia="黑体" w:cs="黑体"/>
          <w:sz w:val="28"/>
          <w:szCs w:val="28"/>
          <w:lang w:eastAsia="zh-CN"/>
        </w:rPr>
        <w:t>响应技术偏离表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429"/>
        <w:gridCol w:w="1878"/>
        <w:gridCol w:w="1864"/>
        <w:gridCol w:w="1216"/>
        <w:gridCol w:w="1311"/>
      </w:tblGrid>
      <w:tr w14:paraId="4652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14:paraId="52D10E6B">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序号</w:t>
            </w:r>
          </w:p>
        </w:tc>
        <w:tc>
          <w:tcPr>
            <w:tcW w:w="1429" w:type="dxa"/>
            <w:tcBorders>
              <w:top w:val="single" w:color="auto" w:sz="4" w:space="0"/>
              <w:left w:val="single" w:color="auto" w:sz="4" w:space="0"/>
              <w:bottom w:val="single" w:color="auto" w:sz="4" w:space="0"/>
              <w:right w:val="single" w:color="auto" w:sz="4" w:space="0"/>
            </w:tcBorders>
          </w:tcPr>
          <w:p w14:paraId="616AA18D">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产品名称</w:t>
            </w:r>
          </w:p>
        </w:tc>
        <w:tc>
          <w:tcPr>
            <w:tcW w:w="1878" w:type="dxa"/>
            <w:tcBorders>
              <w:top w:val="single" w:color="auto" w:sz="4" w:space="0"/>
              <w:left w:val="single" w:color="auto" w:sz="4" w:space="0"/>
              <w:bottom w:val="single" w:color="auto" w:sz="4" w:space="0"/>
              <w:right w:val="single" w:color="auto" w:sz="4" w:space="0"/>
            </w:tcBorders>
          </w:tcPr>
          <w:p w14:paraId="61B13E76">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采购需求技术要求</w:t>
            </w:r>
          </w:p>
        </w:tc>
        <w:tc>
          <w:tcPr>
            <w:tcW w:w="1864" w:type="dxa"/>
            <w:tcBorders>
              <w:top w:val="single" w:color="auto" w:sz="4" w:space="0"/>
              <w:left w:val="single" w:color="auto" w:sz="4" w:space="0"/>
              <w:bottom w:val="single" w:color="auto" w:sz="4" w:space="0"/>
              <w:right w:val="single" w:color="auto" w:sz="4" w:space="0"/>
            </w:tcBorders>
          </w:tcPr>
          <w:p w14:paraId="5E88F7BC">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响应货物实际技术规格</w:t>
            </w:r>
          </w:p>
        </w:tc>
        <w:tc>
          <w:tcPr>
            <w:tcW w:w="1216" w:type="dxa"/>
            <w:tcBorders>
              <w:top w:val="single" w:color="auto" w:sz="4" w:space="0"/>
              <w:left w:val="single" w:color="auto" w:sz="4" w:space="0"/>
              <w:bottom w:val="single" w:color="auto" w:sz="4" w:space="0"/>
              <w:right w:val="single" w:color="auto" w:sz="4" w:space="0"/>
            </w:tcBorders>
          </w:tcPr>
          <w:p w14:paraId="4201985A">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偏离情况</w:t>
            </w:r>
          </w:p>
        </w:tc>
        <w:tc>
          <w:tcPr>
            <w:tcW w:w="1311" w:type="dxa"/>
            <w:tcBorders>
              <w:top w:val="single" w:color="auto" w:sz="4" w:space="0"/>
              <w:left w:val="single" w:color="auto" w:sz="4" w:space="0"/>
              <w:bottom w:val="single" w:color="auto" w:sz="4" w:space="0"/>
              <w:right w:val="single" w:color="auto" w:sz="4" w:space="0"/>
            </w:tcBorders>
          </w:tcPr>
          <w:p w14:paraId="72E8C193">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备注说明</w:t>
            </w:r>
          </w:p>
        </w:tc>
      </w:tr>
      <w:tr w14:paraId="7542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14:paraId="4D9D2742">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1</w:t>
            </w:r>
          </w:p>
        </w:tc>
        <w:tc>
          <w:tcPr>
            <w:tcW w:w="1429" w:type="dxa"/>
            <w:tcBorders>
              <w:top w:val="single" w:color="auto" w:sz="4" w:space="0"/>
              <w:left w:val="single" w:color="auto" w:sz="4" w:space="0"/>
              <w:bottom w:val="single" w:color="auto" w:sz="4" w:space="0"/>
              <w:right w:val="single" w:color="auto" w:sz="4" w:space="0"/>
            </w:tcBorders>
          </w:tcPr>
          <w:p w14:paraId="378B7425">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按采购需求清单填写</w:t>
            </w:r>
          </w:p>
        </w:tc>
        <w:tc>
          <w:tcPr>
            <w:tcW w:w="1878" w:type="dxa"/>
            <w:tcBorders>
              <w:top w:val="single" w:color="auto" w:sz="4" w:space="0"/>
              <w:left w:val="single" w:color="auto" w:sz="4" w:space="0"/>
              <w:bottom w:val="single" w:color="auto" w:sz="4" w:space="0"/>
              <w:right w:val="single" w:color="auto" w:sz="4" w:space="0"/>
            </w:tcBorders>
          </w:tcPr>
          <w:p w14:paraId="72C9479F">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按采购需求文件中对应技术填写</w:t>
            </w:r>
          </w:p>
        </w:tc>
        <w:tc>
          <w:tcPr>
            <w:tcW w:w="1864" w:type="dxa"/>
            <w:tcBorders>
              <w:top w:val="single" w:color="auto" w:sz="4" w:space="0"/>
              <w:left w:val="single" w:color="auto" w:sz="4" w:space="0"/>
              <w:bottom w:val="single" w:color="auto" w:sz="4" w:space="0"/>
              <w:right w:val="single" w:color="auto" w:sz="4" w:space="0"/>
            </w:tcBorders>
          </w:tcPr>
          <w:p w14:paraId="2CCC00C8">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按所投产品实际技术指标填写</w:t>
            </w:r>
          </w:p>
        </w:tc>
        <w:tc>
          <w:tcPr>
            <w:tcW w:w="1216" w:type="dxa"/>
            <w:tcBorders>
              <w:top w:val="single" w:color="auto" w:sz="4" w:space="0"/>
              <w:left w:val="single" w:color="auto" w:sz="4" w:space="0"/>
              <w:bottom w:val="single" w:color="auto" w:sz="4" w:space="0"/>
              <w:right w:val="single" w:color="auto" w:sz="4" w:space="0"/>
            </w:tcBorders>
          </w:tcPr>
          <w:p w14:paraId="2C6DCD9A">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正偏离或满足或负偏离</w:t>
            </w:r>
          </w:p>
        </w:tc>
        <w:tc>
          <w:tcPr>
            <w:tcW w:w="1311" w:type="dxa"/>
            <w:tcBorders>
              <w:top w:val="single" w:color="auto" w:sz="4" w:space="0"/>
              <w:left w:val="single" w:color="auto" w:sz="4" w:space="0"/>
              <w:bottom w:val="single" w:color="auto" w:sz="4" w:space="0"/>
              <w:right w:val="single" w:color="auto" w:sz="4" w:space="0"/>
            </w:tcBorders>
          </w:tcPr>
          <w:p w14:paraId="51816A82">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其他需补充说明情况</w:t>
            </w:r>
          </w:p>
        </w:tc>
      </w:tr>
      <w:tr w14:paraId="06BA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14:paraId="21A3FF7F">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429" w:type="dxa"/>
            <w:tcBorders>
              <w:top w:val="single" w:color="auto" w:sz="4" w:space="0"/>
              <w:left w:val="single" w:color="auto" w:sz="4" w:space="0"/>
              <w:bottom w:val="single" w:color="auto" w:sz="4" w:space="0"/>
              <w:right w:val="single" w:color="auto" w:sz="4" w:space="0"/>
            </w:tcBorders>
          </w:tcPr>
          <w:p w14:paraId="26EF15B5">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w:t>
            </w:r>
          </w:p>
        </w:tc>
        <w:tc>
          <w:tcPr>
            <w:tcW w:w="1878" w:type="dxa"/>
            <w:tcBorders>
              <w:top w:val="single" w:color="auto" w:sz="4" w:space="0"/>
              <w:left w:val="single" w:color="auto" w:sz="4" w:space="0"/>
              <w:bottom w:val="single" w:color="auto" w:sz="4" w:space="0"/>
              <w:right w:val="single" w:color="auto" w:sz="4" w:space="0"/>
            </w:tcBorders>
          </w:tcPr>
          <w:p w14:paraId="24BD1091">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864" w:type="dxa"/>
            <w:tcBorders>
              <w:top w:val="single" w:color="auto" w:sz="4" w:space="0"/>
              <w:left w:val="single" w:color="auto" w:sz="4" w:space="0"/>
              <w:bottom w:val="single" w:color="auto" w:sz="4" w:space="0"/>
              <w:right w:val="single" w:color="auto" w:sz="4" w:space="0"/>
            </w:tcBorders>
          </w:tcPr>
          <w:p w14:paraId="35530A50">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216" w:type="dxa"/>
            <w:tcBorders>
              <w:top w:val="single" w:color="auto" w:sz="4" w:space="0"/>
              <w:left w:val="single" w:color="auto" w:sz="4" w:space="0"/>
              <w:bottom w:val="single" w:color="auto" w:sz="4" w:space="0"/>
              <w:right w:val="single" w:color="auto" w:sz="4" w:space="0"/>
            </w:tcBorders>
          </w:tcPr>
          <w:p w14:paraId="33266E41">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311" w:type="dxa"/>
            <w:tcBorders>
              <w:top w:val="single" w:color="auto" w:sz="4" w:space="0"/>
              <w:left w:val="single" w:color="auto" w:sz="4" w:space="0"/>
              <w:bottom w:val="single" w:color="auto" w:sz="4" w:space="0"/>
              <w:right w:val="single" w:color="auto" w:sz="4" w:space="0"/>
            </w:tcBorders>
          </w:tcPr>
          <w:p w14:paraId="76C97ECA">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r>
      <w:tr w14:paraId="482A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14:paraId="799EC03F">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429" w:type="dxa"/>
            <w:tcBorders>
              <w:top w:val="single" w:color="auto" w:sz="4" w:space="0"/>
              <w:left w:val="single" w:color="auto" w:sz="4" w:space="0"/>
              <w:bottom w:val="single" w:color="auto" w:sz="4" w:space="0"/>
              <w:right w:val="single" w:color="auto" w:sz="4" w:space="0"/>
            </w:tcBorders>
          </w:tcPr>
          <w:p w14:paraId="7BC31785">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878" w:type="dxa"/>
            <w:tcBorders>
              <w:top w:val="single" w:color="auto" w:sz="4" w:space="0"/>
              <w:left w:val="single" w:color="auto" w:sz="4" w:space="0"/>
              <w:bottom w:val="single" w:color="auto" w:sz="4" w:space="0"/>
              <w:right w:val="single" w:color="auto" w:sz="4" w:space="0"/>
            </w:tcBorders>
          </w:tcPr>
          <w:p w14:paraId="09CF4EB2">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864" w:type="dxa"/>
            <w:tcBorders>
              <w:top w:val="single" w:color="auto" w:sz="4" w:space="0"/>
              <w:left w:val="single" w:color="auto" w:sz="4" w:space="0"/>
              <w:bottom w:val="single" w:color="auto" w:sz="4" w:space="0"/>
              <w:right w:val="single" w:color="auto" w:sz="4" w:space="0"/>
            </w:tcBorders>
          </w:tcPr>
          <w:p w14:paraId="4E9E91BF">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216" w:type="dxa"/>
            <w:tcBorders>
              <w:top w:val="single" w:color="auto" w:sz="4" w:space="0"/>
              <w:left w:val="single" w:color="auto" w:sz="4" w:space="0"/>
              <w:bottom w:val="single" w:color="auto" w:sz="4" w:space="0"/>
              <w:right w:val="single" w:color="auto" w:sz="4" w:space="0"/>
            </w:tcBorders>
          </w:tcPr>
          <w:p w14:paraId="5379E0FD">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c>
          <w:tcPr>
            <w:tcW w:w="1311" w:type="dxa"/>
            <w:tcBorders>
              <w:top w:val="single" w:color="auto" w:sz="4" w:space="0"/>
              <w:left w:val="single" w:color="auto" w:sz="4" w:space="0"/>
              <w:bottom w:val="single" w:color="auto" w:sz="4" w:space="0"/>
              <w:right w:val="single" w:color="auto" w:sz="4" w:space="0"/>
            </w:tcBorders>
          </w:tcPr>
          <w:p w14:paraId="6E41916F">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szCs w:val="24"/>
                <w:lang w:eastAsia="zh-CN"/>
              </w:rPr>
            </w:pPr>
          </w:p>
        </w:tc>
      </w:tr>
    </w:tbl>
    <w:p w14:paraId="7765A2F0">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7272AF7E">
      <w:pPr>
        <w:pStyle w:val="3"/>
        <w:spacing w:before="0" w:after="0" w:line="460" w:lineRule="exact"/>
        <w:ind w:firstLine="560" w:firstLineChars="200"/>
        <w:rPr>
          <w:rFonts w:hint="eastAsia" w:ascii="黑体" w:hAnsi="黑体" w:eastAsia="黑体" w:cs="黑体"/>
          <w:b w:val="0"/>
          <w:bCs w:val="0"/>
          <w:sz w:val="28"/>
          <w:lang w:eastAsia="zh-CN"/>
        </w:rPr>
      </w:pPr>
      <w:r>
        <w:rPr>
          <w:rFonts w:hint="eastAsia" w:ascii="黑体" w:hAnsi="黑体" w:eastAsia="黑体" w:cs="黑体"/>
          <w:b w:val="0"/>
          <w:bCs w:val="0"/>
          <w:sz w:val="28"/>
          <w:lang w:eastAsia="zh-CN"/>
        </w:rPr>
        <w:t>评分标准</w:t>
      </w:r>
    </w:p>
    <w:p w14:paraId="46100BC2">
      <w:pPr>
        <w:rPr>
          <w:lang w:eastAsia="zh-CN"/>
        </w:rPr>
      </w:pP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66"/>
        <w:gridCol w:w="6803"/>
        <w:gridCol w:w="736"/>
      </w:tblGrid>
      <w:tr w14:paraId="7A5C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5811F083">
            <w:pPr>
              <w:spacing w:line="320" w:lineRule="exact"/>
              <w:jc w:val="center"/>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rPr>
              <w:t>序号</w:t>
            </w:r>
          </w:p>
        </w:tc>
        <w:tc>
          <w:tcPr>
            <w:tcW w:w="520" w:type="pct"/>
            <w:tcBorders>
              <w:top w:val="single" w:color="auto" w:sz="4" w:space="0"/>
              <w:left w:val="single" w:color="auto" w:sz="4" w:space="0"/>
              <w:bottom w:val="single" w:color="auto" w:sz="4" w:space="0"/>
              <w:right w:val="single" w:color="auto" w:sz="4" w:space="0"/>
            </w:tcBorders>
            <w:vAlign w:val="center"/>
          </w:tcPr>
          <w:p w14:paraId="3A9EEE77">
            <w:pPr>
              <w:spacing w:line="320" w:lineRule="exact"/>
              <w:jc w:val="center"/>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rPr>
              <w:t>评估要素</w:t>
            </w:r>
          </w:p>
        </w:tc>
        <w:tc>
          <w:tcPr>
            <w:tcW w:w="3662" w:type="pct"/>
            <w:tcBorders>
              <w:top w:val="single" w:color="auto" w:sz="4" w:space="0"/>
              <w:left w:val="single" w:color="auto" w:sz="4" w:space="0"/>
              <w:bottom w:val="single" w:color="auto" w:sz="4" w:space="0"/>
              <w:right w:val="single" w:color="auto" w:sz="4" w:space="0"/>
            </w:tcBorders>
            <w:vAlign w:val="center"/>
          </w:tcPr>
          <w:p w14:paraId="36BEE6D6">
            <w:pPr>
              <w:spacing w:line="320" w:lineRule="exact"/>
              <w:jc w:val="center"/>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rPr>
              <w:t>主要评估内容</w:t>
            </w:r>
          </w:p>
        </w:tc>
        <w:tc>
          <w:tcPr>
            <w:tcW w:w="396" w:type="pct"/>
            <w:tcBorders>
              <w:top w:val="single" w:color="auto" w:sz="4" w:space="0"/>
              <w:left w:val="single" w:color="auto" w:sz="4" w:space="0"/>
              <w:bottom w:val="single" w:color="auto" w:sz="4" w:space="0"/>
              <w:right w:val="single" w:color="auto" w:sz="4" w:space="0"/>
            </w:tcBorders>
            <w:vAlign w:val="center"/>
          </w:tcPr>
          <w:p w14:paraId="4CEF612B">
            <w:pPr>
              <w:spacing w:line="320" w:lineRule="exact"/>
              <w:jc w:val="center"/>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rPr>
              <w:t>分值</w:t>
            </w:r>
          </w:p>
        </w:tc>
      </w:tr>
      <w:tr w14:paraId="5928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15F59BFD">
            <w:pPr>
              <w:snapToGrid w:val="0"/>
              <w:spacing w:line="240" w:lineRule="exact"/>
              <w:ind w:firstLine="210" w:firstLineChars="10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w:t>
            </w:r>
          </w:p>
        </w:tc>
        <w:tc>
          <w:tcPr>
            <w:tcW w:w="520" w:type="pct"/>
            <w:tcBorders>
              <w:top w:val="single" w:color="auto" w:sz="4" w:space="0"/>
              <w:left w:val="single" w:color="auto" w:sz="4" w:space="0"/>
              <w:bottom w:val="single" w:color="auto" w:sz="4" w:space="0"/>
              <w:right w:val="single" w:color="auto" w:sz="4" w:space="0"/>
            </w:tcBorders>
            <w:vAlign w:val="center"/>
          </w:tcPr>
          <w:p w14:paraId="6A836D36">
            <w:pPr>
              <w:pStyle w:val="180"/>
              <w:spacing w:line="24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报价得分</w:t>
            </w:r>
          </w:p>
        </w:tc>
        <w:tc>
          <w:tcPr>
            <w:tcW w:w="3662" w:type="pct"/>
            <w:tcBorders>
              <w:top w:val="single" w:color="auto" w:sz="4" w:space="0"/>
              <w:left w:val="single" w:color="auto" w:sz="4" w:space="0"/>
              <w:bottom w:val="single" w:color="auto" w:sz="4" w:space="0"/>
              <w:right w:val="single" w:color="auto" w:sz="4" w:space="0"/>
            </w:tcBorders>
            <w:vAlign w:val="center"/>
          </w:tcPr>
          <w:p w14:paraId="6814D3A7">
            <w:pPr>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报价得分。报价得分＝价格分值×（基准价/报价）×20%×100</w:t>
            </w:r>
          </w:p>
        </w:tc>
        <w:tc>
          <w:tcPr>
            <w:tcW w:w="396" w:type="pct"/>
            <w:tcBorders>
              <w:top w:val="single" w:color="auto" w:sz="4" w:space="0"/>
              <w:left w:val="single" w:color="auto" w:sz="4" w:space="0"/>
              <w:bottom w:val="single" w:color="auto" w:sz="4" w:space="0"/>
              <w:right w:val="single" w:color="auto" w:sz="4" w:space="0"/>
            </w:tcBorders>
            <w:vAlign w:val="center"/>
          </w:tcPr>
          <w:p w14:paraId="24EE15DF">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20</w:t>
            </w:r>
            <w:r>
              <w:rPr>
                <w:rFonts w:hint="eastAsia" w:ascii="仿宋_GB2312" w:hAnsi="仿宋_GB2312" w:eastAsia="仿宋_GB2312" w:cs="仿宋_GB2312"/>
                <w:color w:val="auto"/>
                <w:sz w:val="21"/>
                <w:szCs w:val="21"/>
              </w:rPr>
              <w:t>分</w:t>
            </w:r>
          </w:p>
        </w:tc>
      </w:tr>
      <w:tr w14:paraId="3D18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79EE5EAA">
            <w:pPr>
              <w:snapToGrid w:val="0"/>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2</w:t>
            </w:r>
          </w:p>
        </w:tc>
        <w:tc>
          <w:tcPr>
            <w:tcW w:w="520" w:type="pct"/>
            <w:tcBorders>
              <w:top w:val="single" w:color="auto" w:sz="4" w:space="0"/>
              <w:left w:val="single" w:color="auto" w:sz="4" w:space="0"/>
              <w:bottom w:val="single" w:color="auto" w:sz="4" w:space="0"/>
              <w:right w:val="single" w:color="auto" w:sz="4" w:space="0"/>
            </w:tcBorders>
            <w:vAlign w:val="center"/>
          </w:tcPr>
          <w:p w14:paraId="1813EADF">
            <w:pPr>
              <w:snapToGrid w:val="0"/>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类似业绩</w:t>
            </w:r>
          </w:p>
        </w:tc>
        <w:tc>
          <w:tcPr>
            <w:tcW w:w="3662" w:type="pct"/>
            <w:tcBorders>
              <w:top w:val="single" w:color="auto" w:sz="4" w:space="0"/>
              <w:left w:val="single" w:color="auto" w:sz="4" w:space="0"/>
              <w:bottom w:val="single" w:color="auto" w:sz="4" w:space="0"/>
              <w:right w:val="single" w:color="auto" w:sz="4" w:space="0"/>
            </w:tcBorders>
            <w:vAlign w:val="center"/>
          </w:tcPr>
          <w:p w14:paraId="3EA201FD">
            <w:pPr>
              <w:snapToGrid w:val="0"/>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近三年类似项目业绩（合同或中标通知书原件扫描件，具体时间以合同签订日期或中标通知书落款日期为准，未注明日期或者不清楚则不予计取，不提供则不得分）每个合同得1分，最高得6分。</w:t>
            </w:r>
          </w:p>
        </w:tc>
        <w:tc>
          <w:tcPr>
            <w:tcW w:w="396" w:type="pct"/>
            <w:tcBorders>
              <w:top w:val="single" w:color="auto" w:sz="4" w:space="0"/>
              <w:left w:val="single" w:color="auto" w:sz="4" w:space="0"/>
              <w:bottom w:val="single" w:color="auto" w:sz="4" w:space="0"/>
              <w:right w:val="single" w:color="auto" w:sz="4" w:space="0"/>
            </w:tcBorders>
            <w:vAlign w:val="center"/>
          </w:tcPr>
          <w:p w14:paraId="4E82E0B8">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6</w:t>
            </w:r>
            <w:r>
              <w:rPr>
                <w:rFonts w:hint="eastAsia" w:ascii="仿宋_GB2312" w:hAnsi="仿宋_GB2312" w:eastAsia="仿宋_GB2312" w:cs="仿宋_GB2312"/>
                <w:color w:val="auto"/>
                <w:sz w:val="21"/>
                <w:szCs w:val="21"/>
              </w:rPr>
              <w:t>分</w:t>
            </w:r>
          </w:p>
        </w:tc>
      </w:tr>
      <w:tr w14:paraId="630C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4C1BD165">
            <w:pPr>
              <w:snapToGrid w:val="0"/>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3</w:t>
            </w:r>
          </w:p>
        </w:tc>
        <w:tc>
          <w:tcPr>
            <w:tcW w:w="520" w:type="pct"/>
            <w:tcBorders>
              <w:top w:val="single" w:color="auto" w:sz="4" w:space="0"/>
              <w:left w:val="single" w:color="auto" w:sz="4" w:space="0"/>
              <w:bottom w:val="single" w:color="auto" w:sz="4" w:space="0"/>
              <w:right w:val="single" w:color="auto" w:sz="4" w:space="0"/>
            </w:tcBorders>
            <w:vAlign w:val="center"/>
          </w:tcPr>
          <w:p w14:paraId="1C7EF7C5">
            <w:pPr>
              <w:kinsoku w:val="0"/>
              <w:overflowPunct w:val="0"/>
              <w:autoSpaceDE w:val="0"/>
              <w:autoSpaceDN w:val="0"/>
              <w:adjustRightInd w:val="0"/>
              <w:spacing w:line="240" w:lineRule="exact"/>
              <w:ind w:left="103"/>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对项目需求的理解</w:t>
            </w:r>
          </w:p>
        </w:tc>
        <w:tc>
          <w:tcPr>
            <w:tcW w:w="3662" w:type="pct"/>
            <w:tcBorders>
              <w:top w:val="single" w:color="auto" w:sz="4" w:space="0"/>
              <w:left w:val="single" w:color="auto" w:sz="4" w:space="0"/>
              <w:bottom w:val="single" w:color="auto" w:sz="4" w:space="0"/>
              <w:right w:val="single" w:color="auto" w:sz="4" w:space="0"/>
            </w:tcBorders>
            <w:vAlign w:val="center"/>
          </w:tcPr>
          <w:p w14:paraId="395C4D20">
            <w:pPr>
              <w:pStyle w:val="27"/>
              <w:tabs>
                <w:tab w:val="center" w:pos="4153"/>
                <w:tab w:val="right" w:pos="8306"/>
                <w:tab w:val="clear" w:pos="4680"/>
                <w:tab w:val="clear" w:pos="9360"/>
              </w:tabs>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根据报价方对于采购需求及项目实际情况的理解，对本采购项目需求的理解准确到位，对采购项目的特点、重点、难点有针对性的切实可行的解决方法，措施科学全面，得14-20分；对采购项目需求的理解基本准确，对采购项目的特点、重点、难点的解决办法有一定的针对性，措施基本合理，得7-13分；对采购项目需求不够理解，对需求的特点、重点、难点的解决方法无针对性，措施不具体，错误较多，得 1-6分。</w:t>
            </w:r>
            <w:r>
              <w:rPr>
                <w:rFonts w:hint="eastAsia" w:ascii="仿宋_GB2312" w:hAnsi="仿宋_GB2312" w:eastAsia="仿宋_GB2312" w:cs="仿宋_GB2312"/>
                <w:color w:val="auto"/>
                <w:sz w:val="21"/>
                <w:szCs w:val="21"/>
              </w:rPr>
              <w:t>未提供相应内容的不得分。</w:t>
            </w:r>
          </w:p>
        </w:tc>
        <w:tc>
          <w:tcPr>
            <w:tcW w:w="396" w:type="pct"/>
            <w:tcBorders>
              <w:top w:val="single" w:color="auto" w:sz="4" w:space="0"/>
              <w:left w:val="single" w:color="auto" w:sz="4" w:space="0"/>
              <w:bottom w:val="single" w:color="auto" w:sz="4" w:space="0"/>
              <w:right w:val="single" w:color="auto" w:sz="4" w:space="0"/>
            </w:tcBorders>
            <w:vAlign w:val="center"/>
          </w:tcPr>
          <w:p w14:paraId="78675966">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20</w:t>
            </w:r>
            <w:r>
              <w:rPr>
                <w:rFonts w:hint="eastAsia" w:ascii="仿宋_GB2312" w:hAnsi="仿宋_GB2312" w:eastAsia="仿宋_GB2312" w:cs="仿宋_GB2312"/>
                <w:color w:val="auto"/>
                <w:sz w:val="21"/>
                <w:szCs w:val="21"/>
              </w:rPr>
              <w:t>分</w:t>
            </w:r>
          </w:p>
        </w:tc>
      </w:tr>
      <w:tr w14:paraId="7018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7F81BB48">
            <w:pPr>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4</w:t>
            </w:r>
          </w:p>
        </w:tc>
        <w:tc>
          <w:tcPr>
            <w:tcW w:w="520" w:type="pct"/>
            <w:tcBorders>
              <w:top w:val="single" w:color="auto" w:sz="4" w:space="0"/>
              <w:left w:val="single" w:color="auto" w:sz="4" w:space="0"/>
              <w:bottom w:val="single" w:color="auto" w:sz="4" w:space="0"/>
              <w:right w:val="single" w:color="auto" w:sz="4" w:space="0"/>
            </w:tcBorders>
            <w:vAlign w:val="center"/>
          </w:tcPr>
          <w:p w14:paraId="7AED29DB">
            <w:pPr>
              <w:spacing w:line="24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设备的参数</w:t>
            </w:r>
          </w:p>
        </w:tc>
        <w:tc>
          <w:tcPr>
            <w:tcW w:w="3662" w:type="pct"/>
            <w:tcBorders>
              <w:top w:val="single" w:color="auto" w:sz="4" w:space="0"/>
              <w:left w:val="single" w:color="auto" w:sz="4" w:space="0"/>
              <w:bottom w:val="single" w:color="auto" w:sz="4" w:space="0"/>
              <w:right w:val="single" w:color="auto" w:sz="4" w:space="0"/>
            </w:tcBorders>
            <w:vAlign w:val="center"/>
          </w:tcPr>
          <w:p w14:paraId="1CC1544B">
            <w:pPr>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根据所提供的产品功能及特点、产品性能、产品资料（除“</w:t>
            </w:r>
            <w:r>
              <w:rPr>
                <w:rFonts w:hint="eastAsia" w:ascii="仿宋_GB2312" w:hAnsi="仿宋_GB2312" w:eastAsia="仿宋_GB2312" w:cs="仿宋_GB2312"/>
                <w:color w:val="auto"/>
                <w:kern w:val="2"/>
                <w:sz w:val="21"/>
                <w:szCs w:val="21"/>
                <w:lang w:eastAsia="zh-CN"/>
              </w:rPr>
              <w:t>*</w:t>
            </w:r>
            <w:r>
              <w:rPr>
                <w:rFonts w:hint="eastAsia" w:ascii="仿宋_GB2312" w:hAnsi="仿宋_GB2312" w:eastAsia="仿宋_GB2312" w:cs="仿宋_GB2312"/>
                <w:color w:val="auto"/>
                <w:sz w:val="21"/>
                <w:szCs w:val="21"/>
                <w:lang w:eastAsia="zh-CN"/>
              </w:rPr>
              <w:t>”重要指标外的其他技术参数）与需求的吻合程度和偏差情况，是否能够满足采购需求要求，产品资料是否详细完整等进行综合评审。产品资料详细完整，产品性能完全满足采购需求，投标产品功能和特点的描述清晰准确，综合性能出色（先进性、兼容性、可扩展性等），得16-20分；产品资料不能完全体现产品特点，功能描述不完整，少量性能指标不满足采购需求，但不影响主要功能的，得</w:t>
            </w:r>
            <w:r>
              <w:rPr>
                <w:rFonts w:hint="eastAsia" w:ascii="仿宋_GB2312" w:hAnsi="仿宋_GB2312" w:eastAsia="仿宋_GB2312" w:cs="仿宋_GB2312"/>
                <w:color w:val="auto"/>
                <w:sz w:val="21"/>
                <w:szCs w:val="21"/>
                <w:lang w:val="en-US" w:eastAsia="zh-CN"/>
              </w:rPr>
              <w:t>10-15</w:t>
            </w:r>
            <w:r>
              <w:rPr>
                <w:rFonts w:hint="eastAsia" w:ascii="仿宋_GB2312" w:hAnsi="仿宋_GB2312" w:eastAsia="仿宋_GB2312" w:cs="仿宋_GB2312"/>
                <w:color w:val="auto"/>
                <w:sz w:val="21"/>
                <w:szCs w:val="21"/>
                <w:lang w:eastAsia="zh-CN"/>
              </w:rPr>
              <w:t>分；产品资料内容缺漏，所选用产品有多处性能指标低于采购需求，并影响到主要功能的，得</w:t>
            </w:r>
            <w:r>
              <w:rPr>
                <w:rFonts w:hint="eastAsia" w:ascii="仿宋_GB2312" w:hAnsi="仿宋_GB2312" w:eastAsia="仿宋_GB2312" w:cs="仿宋_GB2312"/>
                <w:color w:val="auto"/>
                <w:sz w:val="21"/>
                <w:szCs w:val="21"/>
                <w:lang w:val="en-US" w:eastAsia="zh-CN"/>
              </w:rPr>
              <w:t>5-9</w:t>
            </w:r>
            <w:r>
              <w:rPr>
                <w:rFonts w:hint="eastAsia" w:ascii="仿宋_GB2312" w:hAnsi="仿宋_GB2312" w:eastAsia="仿宋_GB2312" w:cs="仿宋_GB2312"/>
                <w:color w:val="auto"/>
                <w:sz w:val="21"/>
                <w:szCs w:val="21"/>
                <w:lang w:eastAsia="zh-CN"/>
              </w:rPr>
              <w:t>分；产品资料内容有很多缺漏，所选用产品大量性能指标不满足采购需求，并严重影响到主要功能的，得</w:t>
            </w:r>
            <w:r>
              <w:rPr>
                <w:rFonts w:hint="eastAsia" w:ascii="仿宋_GB2312" w:hAnsi="仿宋_GB2312" w:eastAsia="仿宋_GB2312" w:cs="仿宋_GB2312"/>
                <w:color w:val="auto"/>
                <w:sz w:val="21"/>
                <w:szCs w:val="21"/>
                <w:lang w:val="en-US" w:eastAsia="zh-CN"/>
              </w:rPr>
              <w:t>1-4</w:t>
            </w:r>
            <w:r>
              <w:rPr>
                <w:rFonts w:hint="eastAsia" w:ascii="仿宋_GB2312" w:hAnsi="仿宋_GB2312" w:eastAsia="仿宋_GB2312" w:cs="仿宋_GB2312"/>
                <w:color w:val="auto"/>
                <w:sz w:val="21"/>
                <w:szCs w:val="21"/>
                <w:lang w:eastAsia="zh-CN"/>
              </w:rPr>
              <w:t>分。</w:t>
            </w:r>
          </w:p>
        </w:tc>
        <w:tc>
          <w:tcPr>
            <w:tcW w:w="396" w:type="pct"/>
            <w:tcBorders>
              <w:top w:val="single" w:color="auto" w:sz="4" w:space="0"/>
              <w:left w:val="single" w:color="auto" w:sz="4" w:space="0"/>
              <w:bottom w:val="single" w:color="auto" w:sz="4" w:space="0"/>
              <w:right w:val="single" w:color="auto" w:sz="4" w:space="0"/>
            </w:tcBorders>
            <w:vAlign w:val="center"/>
          </w:tcPr>
          <w:p w14:paraId="1D3C6FAF">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20</w:t>
            </w:r>
            <w:r>
              <w:rPr>
                <w:rFonts w:hint="eastAsia" w:ascii="仿宋_GB2312" w:hAnsi="仿宋_GB2312" w:eastAsia="仿宋_GB2312" w:cs="仿宋_GB2312"/>
                <w:color w:val="auto"/>
                <w:sz w:val="21"/>
                <w:szCs w:val="21"/>
              </w:rPr>
              <w:t>分</w:t>
            </w:r>
          </w:p>
        </w:tc>
      </w:tr>
      <w:tr w14:paraId="21FD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14:paraId="2C508A34">
            <w:pPr>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5</w:t>
            </w:r>
          </w:p>
        </w:tc>
        <w:tc>
          <w:tcPr>
            <w:tcW w:w="966" w:type="dxa"/>
            <w:tcBorders>
              <w:top w:val="single" w:color="auto" w:sz="4" w:space="0"/>
              <w:left w:val="single" w:color="auto" w:sz="4" w:space="0"/>
              <w:bottom w:val="single" w:color="auto" w:sz="4" w:space="0"/>
              <w:right w:val="single" w:color="auto" w:sz="4" w:space="0"/>
            </w:tcBorders>
            <w:vAlign w:val="center"/>
          </w:tcPr>
          <w:p w14:paraId="04080A90">
            <w:pPr>
              <w:spacing w:line="24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重要指标响应程度</w:t>
            </w:r>
          </w:p>
        </w:tc>
        <w:tc>
          <w:tcPr>
            <w:tcW w:w="6803" w:type="dxa"/>
            <w:tcBorders>
              <w:top w:val="single" w:color="auto" w:sz="4" w:space="0"/>
              <w:left w:val="single" w:color="auto" w:sz="4" w:space="0"/>
              <w:bottom w:val="single" w:color="auto" w:sz="4" w:space="0"/>
              <w:right w:val="single" w:color="auto" w:sz="4" w:space="0"/>
            </w:tcBorders>
            <w:vAlign w:val="center"/>
          </w:tcPr>
          <w:p w14:paraId="7C8469F0">
            <w:pPr>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技术参数要求中标“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1"/>
                <w:szCs w:val="21"/>
                <w:lang w:eastAsia="zh-CN"/>
              </w:rPr>
              <w:t>”项为重要指标，需按要求提供相关证明资料予以佐证，每有一项不满足或未提供相关证明材料的，扣2分，扣完为止，全部满足得</w:t>
            </w:r>
            <w:r>
              <w:rPr>
                <w:rFonts w:hint="eastAsia" w:ascii="仿宋_GB2312" w:hAnsi="仿宋_GB2312" w:eastAsia="仿宋_GB2312" w:cs="仿宋_GB2312"/>
                <w:color w:val="auto"/>
                <w:sz w:val="21"/>
                <w:szCs w:val="21"/>
                <w:lang w:val="en-US" w:eastAsia="zh-CN"/>
              </w:rPr>
              <w:t>12</w:t>
            </w:r>
            <w:r>
              <w:rPr>
                <w:rFonts w:hint="eastAsia" w:ascii="仿宋_GB2312" w:hAnsi="仿宋_GB2312" w:eastAsia="仿宋_GB2312" w:cs="仿宋_GB2312"/>
                <w:color w:val="auto"/>
                <w:sz w:val="21"/>
                <w:szCs w:val="21"/>
                <w:lang w:eastAsia="zh-CN"/>
              </w:rPr>
              <w:t>分。</w:t>
            </w:r>
          </w:p>
        </w:tc>
        <w:tc>
          <w:tcPr>
            <w:tcW w:w="736" w:type="dxa"/>
            <w:tcBorders>
              <w:top w:val="single" w:color="auto" w:sz="4" w:space="0"/>
              <w:left w:val="single" w:color="auto" w:sz="4" w:space="0"/>
              <w:bottom w:val="single" w:color="auto" w:sz="4" w:space="0"/>
              <w:right w:val="single" w:color="auto" w:sz="4" w:space="0"/>
            </w:tcBorders>
            <w:vAlign w:val="center"/>
          </w:tcPr>
          <w:p w14:paraId="07032C70">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12</w:t>
            </w:r>
            <w:r>
              <w:rPr>
                <w:rFonts w:hint="eastAsia" w:ascii="仿宋_GB2312" w:hAnsi="仿宋_GB2312" w:eastAsia="仿宋_GB2312" w:cs="仿宋_GB2312"/>
                <w:color w:val="auto"/>
                <w:sz w:val="21"/>
                <w:szCs w:val="21"/>
              </w:rPr>
              <w:t>分</w:t>
            </w:r>
          </w:p>
        </w:tc>
      </w:tr>
      <w:tr w14:paraId="0640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1B996235">
            <w:pPr>
              <w:snapToGrid w:val="0"/>
              <w:spacing w:line="240" w:lineRule="exact"/>
              <w:ind w:firstLine="210" w:firstLineChars="100"/>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6</w:t>
            </w:r>
          </w:p>
        </w:tc>
        <w:tc>
          <w:tcPr>
            <w:tcW w:w="520" w:type="pct"/>
            <w:tcBorders>
              <w:top w:val="single" w:color="auto" w:sz="4" w:space="0"/>
              <w:left w:val="single" w:color="auto" w:sz="4" w:space="0"/>
              <w:bottom w:val="single" w:color="auto" w:sz="4" w:space="0"/>
              <w:right w:val="single" w:color="auto" w:sz="4" w:space="0"/>
            </w:tcBorders>
            <w:vAlign w:val="center"/>
          </w:tcPr>
          <w:p w14:paraId="4912FAC5">
            <w:pPr>
              <w:snapToGrid w:val="0"/>
              <w:spacing w:line="24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售后服</w:t>
            </w:r>
          </w:p>
          <w:p w14:paraId="4A53F90E">
            <w:pPr>
              <w:snapToGrid w:val="0"/>
              <w:spacing w:line="24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务</w:t>
            </w:r>
          </w:p>
        </w:tc>
        <w:tc>
          <w:tcPr>
            <w:tcW w:w="3662" w:type="pct"/>
            <w:tcBorders>
              <w:top w:val="single" w:color="auto" w:sz="4" w:space="0"/>
              <w:left w:val="single" w:color="auto" w:sz="4" w:space="0"/>
              <w:bottom w:val="single" w:color="auto" w:sz="4" w:space="0"/>
              <w:right w:val="single" w:color="auto" w:sz="4" w:space="0"/>
            </w:tcBorders>
            <w:vAlign w:val="center"/>
          </w:tcPr>
          <w:p w14:paraId="1D1623C7">
            <w:pPr>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根据所提供的产品详细配备清单清晰，固定售后服务情况、产品保修响应时间、到场时间及时，配套服务方案完善的得</w:t>
            </w:r>
            <w:r>
              <w:rPr>
                <w:rFonts w:hint="eastAsia" w:ascii="仿宋_GB2312" w:hAnsi="仿宋_GB2312" w:eastAsia="仿宋_GB2312" w:cs="仿宋_GB2312"/>
                <w:color w:val="auto"/>
                <w:sz w:val="21"/>
                <w:szCs w:val="21"/>
                <w:lang w:val="en-US" w:eastAsia="zh-CN"/>
              </w:rPr>
              <w:t>5-6分；</w:t>
            </w:r>
            <w:r>
              <w:rPr>
                <w:rFonts w:hint="eastAsia" w:ascii="仿宋_GB2312" w:hAnsi="仿宋_GB2312" w:eastAsia="仿宋_GB2312" w:cs="仿宋_GB2312"/>
                <w:color w:val="auto"/>
                <w:sz w:val="21"/>
                <w:szCs w:val="21"/>
                <w:lang w:eastAsia="zh-CN"/>
              </w:rPr>
              <w:t>产品详细配备清单不全、固定售后服务情况、产品保修响应时间、到场时间欠缺，配套服务方案的情况不完善的得</w:t>
            </w:r>
            <w:r>
              <w:rPr>
                <w:rFonts w:hint="eastAsia" w:ascii="仿宋_GB2312" w:hAnsi="仿宋_GB2312" w:eastAsia="仿宋_GB2312" w:cs="仿宋_GB2312"/>
                <w:color w:val="auto"/>
                <w:sz w:val="21"/>
                <w:szCs w:val="21"/>
                <w:lang w:val="en-US" w:eastAsia="zh-CN"/>
              </w:rPr>
              <w:t>3-4分；</w:t>
            </w:r>
            <w:r>
              <w:rPr>
                <w:rFonts w:hint="eastAsia" w:ascii="仿宋_GB2312" w:hAnsi="仿宋_GB2312" w:eastAsia="仿宋_GB2312" w:cs="仿宋_GB2312"/>
                <w:color w:val="auto"/>
                <w:sz w:val="21"/>
                <w:szCs w:val="21"/>
                <w:lang w:eastAsia="zh-CN"/>
              </w:rPr>
              <w:t>产品详细配备清单缺失、固定售后服务情况、产品保修响应时间、到场时间无法保障，配套服务方案欠缺的得</w:t>
            </w:r>
            <w:r>
              <w:rPr>
                <w:rFonts w:hint="eastAsia" w:ascii="仿宋_GB2312" w:hAnsi="仿宋_GB2312" w:eastAsia="仿宋_GB2312" w:cs="仿宋_GB2312"/>
                <w:color w:val="auto"/>
                <w:sz w:val="21"/>
                <w:szCs w:val="21"/>
                <w:lang w:val="en-US" w:eastAsia="zh-CN"/>
              </w:rPr>
              <w:t>1-2分；无相关配置清单、售后相应、配套服务的得0分。</w:t>
            </w:r>
          </w:p>
        </w:tc>
        <w:tc>
          <w:tcPr>
            <w:tcW w:w="396" w:type="pct"/>
            <w:tcBorders>
              <w:top w:val="single" w:color="auto" w:sz="4" w:space="0"/>
              <w:left w:val="single" w:color="auto" w:sz="4" w:space="0"/>
              <w:bottom w:val="single" w:color="auto" w:sz="4" w:space="0"/>
              <w:right w:val="single" w:color="auto" w:sz="4" w:space="0"/>
            </w:tcBorders>
            <w:vAlign w:val="center"/>
          </w:tcPr>
          <w:p w14:paraId="6C6D9EF3">
            <w:pPr>
              <w:spacing w:line="320" w:lineRule="exact"/>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 xml:space="preserve"> 6</w:t>
            </w:r>
            <w:r>
              <w:rPr>
                <w:rFonts w:hint="eastAsia" w:ascii="仿宋_GB2312" w:hAnsi="仿宋_GB2312" w:eastAsia="仿宋_GB2312" w:cs="仿宋_GB2312"/>
                <w:color w:val="auto"/>
                <w:sz w:val="21"/>
                <w:szCs w:val="21"/>
              </w:rPr>
              <w:t>分</w:t>
            </w:r>
          </w:p>
        </w:tc>
      </w:tr>
      <w:tr w14:paraId="6DB9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3D3A9A8E">
            <w:pPr>
              <w:snapToGrid w:val="0"/>
              <w:spacing w:line="240" w:lineRule="exact"/>
              <w:ind w:firstLine="210" w:firstLineChars="100"/>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7</w:t>
            </w:r>
          </w:p>
        </w:tc>
        <w:tc>
          <w:tcPr>
            <w:tcW w:w="520" w:type="pct"/>
            <w:tcBorders>
              <w:top w:val="single" w:color="auto" w:sz="4" w:space="0"/>
              <w:left w:val="single" w:color="auto" w:sz="4" w:space="0"/>
              <w:bottom w:val="single" w:color="auto" w:sz="4" w:space="0"/>
              <w:right w:val="single" w:color="auto" w:sz="4" w:space="0"/>
            </w:tcBorders>
            <w:vAlign w:val="center"/>
          </w:tcPr>
          <w:p w14:paraId="6E3FBE26">
            <w:pPr>
              <w:snapToGrid w:val="0"/>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质保期满后维保服务方案</w:t>
            </w:r>
          </w:p>
        </w:tc>
        <w:tc>
          <w:tcPr>
            <w:tcW w:w="3662" w:type="pct"/>
            <w:tcBorders>
              <w:top w:val="single" w:color="auto" w:sz="4" w:space="0"/>
              <w:left w:val="single" w:color="auto" w:sz="4" w:space="0"/>
              <w:bottom w:val="single" w:color="auto" w:sz="4" w:space="0"/>
              <w:right w:val="single" w:color="auto" w:sz="4" w:space="0"/>
            </w:tcBorders>
            <w:vAlign w:val="center"/>
          </w:tcPr>
          <w:p w14:paraId="366185FD">
            <w:pPr>
              <w:spacing w:line="240" w:lineRule="exact"/>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质保期内对设备提供的质量保证、软件功能更新、硬件设备故障更换（非人为原因）、备品备件报价情况、设备运行维护培训等：各项服务内容完善、具体运维服务实施方案与措施强尽，报价文件编制完整性很合理的得</w:t>
            </w:r>
            <w:r>
              <w:rPr>
                <w:rFonts w:hint="eastAsia" w:ascii="仿宋_GB2312" w:hAnsi="仿宋_GB2312" w:eastAsia="仿宋_GB2312" w:cs="仿宋_GB2312"/>
                <w:color w:val="auto"/>
                <w:sz w:val="21"/>
                <w:szCs w:val="21"/>
                <w:lang w:val="en-US" w:eastAsia="zh-CN"/>
              </w:rPr>
              <w:t>6-8</w:t>
            </w:r>
            <w:r>
              <w:rPr>
                <w:rFonts w:hint="eastAsia" w:ascii="仿宋_GB2312" w:hAnsi="仿宋_GB2312" w:eastAsia="仿宋_GB2312" w:cs="仿宋_GB2312"/>
                <w:color w:val="auto"/>
                <w:sz w:val="21"/>
                <w:szCs w:val="21"/>
                <w:lang w:eastAsia="zh-CN"/>
              </w:rPr>
              <w:t>分；各项服务内容一般、具体运维服务实施方案与措施有描述，但有所欠缺，报价文件编制完整性基本符合的得</w:t>
            </w:r>
            <w:r>
              <w:rPr>
                <w:rFonts w:hint="eastAsia" w:ascii="仿宋_GB2312" w:hAnsi="仿宋_GB2312" w:eastAsia="仿宋_GB2312" w:cs="仿宋_GB2312"/>
                <w:color w:val="auto"/>
                <w:sz w:val="21"/>
                <w:szCs w:val="21"/>
                <w:lang w:val="en-US" w:eastAsia="zh-CN"/>
              </w:rPr>
              <w:t>3-5</w:t>
            </w:r>
            <w:r>
              <w:rPr>
                <w:rFonts w:hint="eastAsia" w:ascii="仿宋_GB2312" w:hAnsi="仿宋_GB2312" w:eastAsia="仿宋_GB2312" w:cs="仿宋_GB2312"/>
                <w:color w:val="auto"/>
                <w:sz w:val="21"/>
                <w:szCs w:val="21"/>
                <w:lang w:eastAsia="zh-CN"/>
              </w:rPr>
              <w:t>分；各项服务内容缺失、具体运维服务实施方案与措施不完备较多，报价文件编制没有准对本项目要求的得1-</w:t>
            </w: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 xml:space="preserve"> 分；无方案 得0分。</w:t>
            </w:r>
          </w:p>
        </w:tc>
        <w:tc>
          <w:tcPr>
            <w:tcW w:w="396" w:type="pct"/>
            <w:tcBorders>
              <w:top w:val="single" w:color="auto" w:sz="4" w:space="0"/>
              <w:left w:val="single" w:color="auto" w:sz="4" w:space="0"/>
              <w:bottom w:val="single" w:color="auto" w:sz="4" w:space="0"/>
              <w:right w:val="single" w:color="auto" w:sz="4" w:space="0"/>
            </w:tcBorders>
            <w:vAlign w:val="center"/>
          </w:tcPr>
          <w:p w14:paraId="6B40FF71">
            <w:pPr>
              <w:spacing w:line="32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 xml:space="preserve"> 8</w:t>
            </w:r>
            <w:r>
              <w:rPr>
                <w:rFonts w:hint="eastAsia" w:ascii="仿宋_GB2312" w:hAnsi="仿宋_GB2312" w:eastAsia="仿宋_GB2312" w:cs="仿宋_GB2312"/>
                <w:color w:val="auto"/>
                <w:sz w:val="21"/>
                <w:szCs w:val="21"/>
              </w:rPr>
              <w:t>分</w:t>
            </w:r>
          </w:p>
        </w:tc>
      </w:tr>
      <w:tr w14:paraId="47B3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14:paraId="1D23F868">
            <w:pPr>
              <w:snapToGrid w:val="0"/>
              <w:spacing w:line="240" w:lineRule="exact"/>
              <w:ind w:firstLine="210" w:firstLineChars="100"/>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8</w:t>
            </w:r>
          </w:p>
        </w:tc>
        <w:tc>
          <w:tcPr>
            <w:tcW w:w="520" w:type="pct"/>
            <w:tcBorders>
              <w:top w:val="single" w:color="auto" w:sz="4" w:space="0"/>
              <w:left w:val="single" w:color="auto" w:sz="4" w:space="0"/>
              <w:bottom w:val="single" w:color="auto" w:sz="4" w:space="0"/>
              <w:right w:val="single" w:color="auto" w:sz="4" w:space="0"/>
            </w:tcBorders>
            <w:vAlign w:val="center"/>
          </w:tcPr>
          <w:p w14:paraId="54D88CB1">
            <w:pPr>
              <w:snapToGrid w:val="0"/>
              <w:spacing w:line="24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安装调试验收及培训</w:t>
            </w:r>
          </w:p>
        </w:tc>
        <w:tc>
          <w:tcPr>
            <w:tcW w:w="3662" w:type="pct"/>
            <w:tcBorders>
              <w:top w:val="single" w:color="auto" w:sz="4" w:space="0"/>
              <w:left w:val="single" w:color="auto" w:sz="4" w:space="0"/>
              <w:bottom w:val="single" w:color="auto" w:sz="4" w:space="0"/>
              <w:right w:val="single" w:color="auto" w:sz="4" w:space="0"/>
            </w:tcBorders>
            <w:vAlign w:val="center"/>
          </w:tcPr>
          <w:p w14:paraId="3CB7F727">
            <w:pPr>
              <w:spacing w:line="240" w:lineRule="exact"/>
              <w:jc w:val="left"/>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产品的现场搬运方案、提供产品安装和维修所需的专用工具和辅助材料安装的情况，调试方法、程序及关键点，产品验收方案的合理性和完整性，对提供操作及维修人员培训及其培训次数、提供免费技术咨询服务。到货、验收方案详尽，培训方案，技术咨询充分得</w:t>
            </w:r>
            <w:r>
              <w:rPr>
                <w:rFonts w:hint="eastAsia" w:ascii="仿宋_GB2312" w:hAnsi="仿宋_GB2312" w:eastAsia="仿宋_GB2312" w:cs="仿宋_GB2312"/>
                <w:color w:val="auto"/>
                <w:sz w:val="21"/>
                <w:szCs w:val="21"/>
                <w:lang w:val="en-US" w:eastAsia="zh-CN"/>
              </w:rPr>
              <w:t>6-8</w:t>
            </w:r>
            <w:r>
              <w:rPr>
                <w:rFonts w:hint="eastAsia" w:ascii="仿宋_GB2312" w:hAnsi="仿宋_GB2312" w:eastAsia="仿宋_GB2312" w:cs="仿宋_GB2312"/>
                <w:color w:val="auto"/>
                <w:sz w:val="21"/>
                <w:szCs w:val="21"/>
                <w:lang w:eastAsia="zh-CN"/>
              </w:rPr>
              <w:t>分；到货、验收方案，培训方案，技术咨询一般得</w:t>
            </w:r>
            <w:r>
              <w:rPr>
                <w:rFonts w:hint="eastAsia" w:ascii="仿宋_GB2312" w:hAnsi="仿宋_GB2312" w:eastAsia="仿宋_GB2312" w:cs="仿宋_GB2312"/>
                <w:color w:val="auto"/>
                <w:sz w:val="21"/>
                <w:szCs w:val="21"/>
                <w:lang w:val="en-US" w:eastAsia="zh-CN"/>
              </w:rPr>
              <w:t>3-5</w:t>
            </w:r>
            <w:r>
              <w:rPr>
                <w:rFonts w:hint="eastAsia" w:ascii="仿宋_GB2312" w:hAnsi="仿宋_GB2312" w:eastAsia="仿宋_GB2312" w:cs="仿宋_GB2312"/>
                <w:color w:val="auto"/>
                <w:sz w:val="21"/>
                <w:szCs w:val="21"/>
                <w:lang w:eastAsia="zh-CN"/>
              </w:rPr>
              <w:t>分；到货、验收方案，培训方案，技术咨询欠缺、简单得</w:t>
            </w:r>
            <w:r>
              <w:rPr>
                <w:rFonts w:hint="eastAsia" w:ascii="仿宋_GB2312" w:hAnsi="仿宋_GB2312" w:eastAsia="仿宋_GB2312" w:cs="仿宋_GB2312"/>
                <w:color w:val="auto"/>
                <w:sz w:val="21"/>
                <w:szCs w:val="21"/>
                <w:lang w:val="en-US" w:eastAsia="zh-CN"/>
              </w:rPr>
              <w:t>1-2</w:t>
            </w:r>
            <w:r>
              <w:rPr>
                <w:rFonts w:hint="eastAsia" w:ascii="仿宋_GB2312" w:hAnsi="仿宋_GB2312" w:eastAsia="仿宋_GB2312" w:cs="仿宋_GB2312"/>
                <w:color w:val="auto"/>
                <w:sz w:val="21"/>
                <w:szCs w:val="21"/>
                <w:lang w:eastAsia="zh-CN"/>
              </w:rPr>
              <w:t>分。未提供得</w:t>
            </w:r>
            <w:r>
              <w:rPr>
                <w:rFonts w:hint="eastAsia" w:ascii="仿宋_GB2312" w:hAnsi="仿宋_GB2312" w:eastAsia="仿宋_GB2312" w:cs="仿宋_GB2312"/>
                <w:color w:val="auto"/>
                <w:sz w:val="21"/>
                <w:szCs w:val="21"/>
                <w:lang w:val="en-US" w:eastAsia="zh-CN"/>
              </w:rPr>
              <w:t>0分</w:t>
            </w:r>
          </w:p>
        </w:tc>
        <w:tc>
          <w:tcPr>
            <w:tcW w:w="396" w:type="pct"/>
            <w:tcBorders>
              <w:top w:val="single" w:color="auto" w:sz="4" w:space="0"/>
              <w:left w:val="single" w:color="auto" w:sz="4" w:space="0"/>
              <w:bottom w:val="single" w:color="auto" w:sz="4" w:space="0"/>
              <w:right w:val="single" w:color="auto" w:sz="4" w:space="0"/>
            </w:tcBorders>
            <w:vAlign w:val="center"/>
          </w:tcPr>
          <w:p w14:paraId="4DC79339">
            <w:pPr>
              <w:spacing w:line="320" w:lineRule="exact"/>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 xml:space="preserve"> 8</w:t>
            </w:r>
            <w:r>
              <w:rPr>
                <w:rFonts w:hint="eastAsia" w:ascii="仿宋_GB2312" w:hAnsi="仿宋_GB2312" w:eastAsia="仿宋_GB2312" w:cs="仿宋_GB2312"/>
                <w:color w:val="auto"/>
                <w:sz w:val="21"/>
                <w:szCs w:val="21"/>
              </w:rPr>
              <w:t>分</w:t>
            </w:r>
          </w:p>
        </w:tc>
      </w:tr>
    </w:tbl>
    <w:p w14:paraId="029D6A03">
      <w:pPr>
        <w:pStyle w:val="33"/>
        <w:rPr>
          <w:rFonts w:hint="eastAsia" w:ascii="仿宋" w:hAnsi="仿宋" w:eastAsia="仿宋" w:cs="仿宋"/>
          <w:b/>
          <w:spacing w:val="-8"/>
          <w:lang w:val="zh-CN"/>
        </w:rPr>
      </w:pPr>
    </w:p>
    <w:p w14:paraId="1C00BA0B">
      <w:pPr>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14:paraId="67900A13">
      <w:pPr>
        <w:pStyle w:val="3"/>
        <w:spacing w:before="0" w:after="0" w:line="460" w:lineRule="exact"/>
        <w:ind w:firstLine="560" w:firstLineChars="200"/>
        <w:rPr>
          <w:rFonts w:hint="eastAsia" w:ascii="黑体" w:hAnsi="黑体" w:eastAsia="黑体" w:cs="黑体"/>
          <w:b w:val="0"/>
          <w:bCs w:val="0"/>
          <w:sz w:val="28"/>
          <w:lang w:eastAsia="zh-CN"/>
        </w:rPr>
      </w:pPr>
      <w:r>
        <w:rPr>
          <w:rFonts w:hint="eastAsia" w:ascii="黑体" w:hAnsi="黑体" w:eastAsia="黑体" w:cs="黑体"/>
          <w:b w:val="0"/>
          <w:bCs w:val="0"/>
          <w:sz w:val="28"/>
          <w:lang w:eastAsia="zh-CN"/>
        </w:rPr>
        <w:t>五、合同主要服务条款</w:t>
      </w:r>
    </w:p>
    <w:p w14:paraId="4C275C08">
      <w:pPr>
        <w:shd w:val="clear" w:color="auto" w:fill="FFFFFF"/>
        <w:spacing w:before="100" w:beforeAutospacing="1" w:after="100" w:afterAutospacing="1"/>
        <w:jc w:val="center"/>
        <w:rPr>
          <w:rFonts w:hint="eastAsia" w:ascii="仿宋" w:hAnsi="仿宋" w:eastAsia="仿宋" w:cs="仿宋"/>
          <w:b/>
          <w:bCs/>
          <w:kern w:val="36"/>
          <w:lang w:eastAsia="zh-CN"/>
        </w:rPr>
      </w:pPr>
      <w:r>
        <w:rPr>
          <w:rFonts w:hint="eastAsia" w:ascii="宋体" w:hAnsi="宋体"/>
          <w:b/>
          <w:bCs/>
          <w:szCs w:val="21"/>
          <w:lang w:eastAsia="zh-CN"/>
        </w:rPr>
        <w:t>超纯水净化系统采购合同</w:t>
      </w:r>
    </w:p>
    <w:p w14:paraId="0D0C45F6">
      <w:pPr>
        <w:shd w:val="clear" w:color="auto" w:fill="FFFFFF"/>
        <w:ind w:firstLine="482"/>
        <w:rPr>
          <w:rFonts w:hint="eastAsia" w:ascii="宋体" w:hAnsi="宋体"/>
          <w:b/>
          <w:szCs w:val="21"/>
          <w:lang w:eastAsia="zh-CN"/>
        </w:rPr>
      </w:pPr>
      <w:r>
        <w:rPr>
          <w:rFonts w:hint="eastAsia" w:ascii="宋体" w:hAnsi="宋体"/>
          <w:b/>
          <w:szCs w:val="21"/>
          <w:lang w:eastAsia="zh-CN"/>
        </w:rPr>
        <w:t>甲方（买方）：上市松江区环境监测站</w:t>
      </w:r>
    </w:p>
    <w:p w14:paraId="79604D7A">
      <w:pPr>
        <w:shd w:val="clear" w:color="auto" w:fill="FFFFFF"/>
        <w:ind w:firstLine="482"/>
        <w:rPr>
          <w:lang w:eastAsia="zh-CN"/>
        </w:rPr>
      </w:pPr>
      <w:r>
        <w:rPr>
          <w:rFonts w:hint="eastAsia" w:ascii="宋体" w:hAnsi="宋体"/>
          <w:b/>
          <w:szCs w:val="21"/>
          <w:lang w:eastAsia="zh-CN"/>
        </w:rPr>
        <w:t>地址：上海市松江区中辰路288号</w:t>
      </w:r>
    </w:p>
    <w:p w14:paraId="22CE371B">
      <w:pPr>
        <w:shd w:val="clear" w:color="auto" w:fill="FFFFFF"/>
        <w:ind w:firstLine="482"/>
        <w:rPr>
          <w:rFonts w:hint="eastAsia" w:ascii="宋体" w:hAnsi="宋体"/>
          <w:b/>
          <w:szCs w:val="21"/>
          <w:lang w:eastAsia="zh-CN"/>
        </w:rPr>
      </w:pPr>
      <w:r>
        <w:rPr>
          <w:rFonts w:hint="eastAsia" w:ascii="宋体" w:hAnsi="宋体"/>
          <w:b/>
          <w:szCs w:val="21"/>
          <w:lang w:eastAsia="zh-CN"/>
        </w:rPr>
        <w:t>电话：</w:t>
      </w:r>
    </w:p>
    <w:p w14:paraId="22E3992D">
      <w:pPr>
        <w:shd w:val="clear" w:color="auto" w:fill="FFFFFF"/>
        <w:ind w:firstLine="482"/>
        <w:rPr>
          <w:rFonts w:hint="eastAsia" w:ascii="宋体" w:hAnsi="宋体"/>
          <w:b/>
          <w:szCs w:val="21"/>
          <w:lang w:eastAsia="zh-CN"/>
        </w:rPr>
      </w:pPr>
      <w:r>
        <w:rPr>
          <w:rFonts w:hint="eastAsia" w:ascii="宋体" w:hAnsi="宋体"/>
          <w:b/>
          <w:szCs w:val="21"/>
          <w:lang w:eastAsia="zh-CN"/>
        </w:rPr>
        <w:t>联系人：</w:t>
      </w:r>
    </w:p>
    <w:p w14:paraId="1AAD2F9A">
      <w:pPr>
        <w:shd w:val="clear" w:color="auto" w:fill="FFFFFF"/>
        <w:ind w:firstLine="482"/>
        <w:rPr>
          <w:rFonts w:hint="eastAsia" w:ascii="宋体" w:hAnsi="宋体" w:cs="Calibri"/>
          <w:szCs w:val="21"/>
          <w:lang w:eastAsia="zh-CN"/>
        </w:rPr>
      </w:pPr>
    </w:p>
    <w:p w14:paraId="2DF81705">
      <w:pPr>
        <w:shd w:val="clear" w:color="auto" w:fill="FFFFFF"/>
        <w:ind w:firstLine="482"/>
        <w:rPr>
          <w:rFonts w:hint="eastAsia" w:ascii="宋体" w:hAnsi="宋体"/>
          <w:b/>
          <w:szCs w:val="21"/>
          <w:lang w:eastAsia="zh-CN"/>
        </w:rPr>
      </w:pPr>
      <w:r>
        <w:rPr>
          <w:rFonts w:hint="eastAsia" w:ascii="宋体" w:hAnsi="宋体"/>
          <w:b/>
          <w:szCs w:val="21"/>
          <w:lang w:eastAsia="zh-CN"/>
        </w:rPr>
        <w:t>乙方（卖方）：</w:t>
      </w:r>
    </w:p>
    <w:p w14:paraId="73CD27F0">
      <w:pPr>
        <w:shd w:val="clear" w:color="auto" w:fill="FFFFFF"/>
        <w:ind w:firstLine="482"/>
        <w:rPr>
          <w:rFonts w:hint="eastAsia" w:ascii="宋体" w:hAnsi="宋体"/>
          <w:b/>
          <w:szCs w:val="21"/>
          <w:lang w:eastAsia="zh-CN"/>
        </w:rPr>
      </w:pPr>
      <w:r>
        <w:rPr>
          <w:rFonts w:hint="eastAsia" w:ascii="宋体" w:hAnsi="宋体"/>
          <w:b/>
          <w:szCs w:val="21"/>
          <w:lang w:eastAsia="zh-CN"/>
        </w:rPr>
        <w:t>地址：</w:t>
      </w:r>
    </w:p>
    <w:p w14:paraId="725FFF3A">
      <w:pPr>
        <w:shd w:val="clear" w:color="auto" w:fill="FFFFFF"/>
        <w:ind w:firstLine="482"/>
        <w:rPr>
          <w:rFonts w:hint="eastAsia" w:ascii="宋体" w:hAnsi="宋体"/>
          <w:b/>
          <w:szCs w:val="21"/>
          <w:lang w:eastAsia="zh-CN"/>
        </w:rPr>
      </w:pPr>
      <w:r>
        <w:rPr>
          <w:rFonts w:hint="eastAsia" w:ascii="宋体" w:hAnsi="宋体"/>
          <w:b/>
          <w:szCs w:val="21"/>
          <w:lang w:eastAsia="zh-CN"/>
        </w:rPr>
        <w:t>电话：</w:t>
      </w:r>
    </w:p>
    <w:p w14:paraId="304CD233">
      <w:pPr>
        <w:shd w:val="clear" w:color="auto" w:fill="FFFFFF"/>
        <w:ind w:firstLine="482"/>
        <w:rPr>
          <w:rFonts w:hint="eastAsia" w:ascii="宋体" w:hAnsi="宋体"/>
          <w:b/>
          <w:szCs w:val="21"/>
          <w:lang w:eastAsia="zh-CN"/>
        </w:rPr>
      </w:pPr>
      <w:r>
        <w:rPr>
          <w:rFonts w:hint="eastAsia" w:ascii="宋体" w:hAnsi="宋体"/>
          <w:b/>
          <w:szCs w:val="21"/>
          <w:lang w:eastAsia="zh-CN"/>
        </w:rPr>
        <w:t>联系人：</w:t>
      </w:r>
    </w:p>
    <w:p w14:paraId="059A6B4E">
      <w:pPr>
        <w:pStyle w:val="27"/>
        <w:tabs>
          <w:tab w:val="center" w:pos="4153"/>
          <w:tab w:val="right" w:pos="8306"/>
          <w:tab w:val="clear" w:pos="4680"/>
          <w:tab w:val="clear" w:pos="9360"/>
        </w:tabs>
        <w:rPr>
          <w:lang w:eastAsia="zh-CN"/>
        </w:rPr>
      </w:pPr>
    </w:p>
    <w:p w14:paraId="06D7949F">
      <w:pPr>
        <w:spacing w:line="360" w:lineRule="exact"/>
        <w:ind w:firstLine="480"/>
        <w:jc w:val="left"/>
        <w:rPr>
          <w:rFonts w:hint="eastAsia" w:ascii="仿宋" w:hAnsi="仿宋" w:eastAsia="仿宋" w:cs="仿宋"/>
          <w:lang w:eastAsia="zh-CN"/>
        </w:rPr>
      </w:pPr>
      <w:r>
        <w:rPr>
          <w:rFonts w:hint="eastAsia" w:ascii="仿宋" w:hAnsi="仿宋" w:eastAsia="仿宋" w:cs="仿宋"/>
          <w:lang w:eastAsia="zh-CN"/>
        </w:rPr>
        <w:t>根据《中华人民共和国政府采购法》、《中华人民共和国合同法》之规定，本合同当事人在平等、自愿的基础上，经协商一致，同意按下述条款和条件签署本合同：</w:t>
      </w:r>
      <w:r>
        <w:rPr>
          <w:rFonts w:hint="eastAsia" w:ascii="仿宋" w:hAnsi="仿宋" w:eastAsia="仿宋" w:cs="仿宋"/>
          <w:lang w:eastAsia="zh-CN"/>
        </w:rPr>
        <w:br w:type="textWrapping"/>
      </w:r>
      <w:r>
        <w:rPr>
          <w:rFonts w:hint="eastAsia" w:ascii="仿宋" w:hAnsi="仿宋" w:eastAsia="仿宋" w:cs="仿宋"/>
          <w:lang w:eastAsia="zh-CN"/>
        </w:rPr>
        <w:t xml:space="preserve"> </w:t>
      </w:r>
      <w:r>
        <w:rPr>
          <w:rFonts w:hint="eastAsia" w:ascii="仿宋" w:hAnsi="仿宋" w:eastAsia="仿宋" w:cs="仿宋"/>
          <w:b/>
          <w:bCs/>
          <w:lang w:eastAsia="zh-CN"/>
        </w:rPr>
        <w:t>1.乙方根据本合同的规定向甲方提供以下设备：</w:t>
      </w:r>
      <w:r>
        <w:rPr>
          <w:rFonts w:hint="eastAsia" w:ascii="仿宋" w:hAnsi="仿宋" w:eastAsia="仿宋" w:cs="仿宋"/>
          <w:lang w:eastAsia="zh-CN"/>
        </w:rPr>
        <w:br w:type="textWrapping"/>
      </w:r>
      <w:r>
        <w:rPr>
          <w:rFonts w:hint="eastAsia" w:ascii="仿宋" w:hAnsi="仿宋" w:eastAsia="仿宋" w:cs="仿宋"/>
          <w:lang w:eastAsia="zh-CN"/>
        </w:rPr>
        <w:t xml:space="preserve"> 1.1乙方所提供的</w:t>
      </w:r>
      <w:r>
        <w:rPr>
          <w:rFonts w:hint="eastAsia" w:ascii="仿宋" w:hAnsi="仿宋" w:eastAsia="仿宋" w:cs="仿宋"/>
          <w:u w:val="single"/>
          <w:lang w:eastAsia="zh-CN"/>
        </w:rPr>
        <w:t xml:space="preserve"> 超纯水净化系统  </w:t>
      </w:r>
      <w:r>
        <w:rPr>
          <w:rFonts w:hint="eastAsia" w:ascii="仿宋" w:hAnsi="仿宋" w:eastAsia="仿宋" w:cs="仿宋"/>
          <w:lang w:eastAsia="zh-CN"/>
        </w:rPr>
        <w:t>来源应符合国家的有关规定，服务的内容、要求、服务质量等详见招标文件和投标文件。</w:t>
      </w:r>
    </w:p>
    <w:p w14:paraId="2AE16C8D">
      <w:pPr>
        <w:spacing w:line="360" w:lineRule="exact"/>
        <w:jc w:val="left"/>
        <w:rPr>
          <w:rFonts w:hint="eastAsia" w:ascii="仿宋" w:hAnsi="仿宋" w:eastAsia="仿宋" w:cs="仿宋"/>
          <w:u w:val="single"/>
          <w:lang w:eastAsia="zh-CN"/>
        </w:rPr>
      </w:pPr>
      <w:r>
        <w:rPr>
          <w:rFonts w:hint="eastAsia" w:ascii="仿宋" w:hAnsi="仿宋" w:eastAsia="仿宋" w:cs="仿宋"/>
          <w:b/>
          <w:bCs/>
          <w:lang w:eastAsia="zh-CN"/>
        </w:rPr>
        <w:t>2. 合同价格、服务地点和服务期限</w:t>
      </w:r>
      <w:r>
        <w:rPr>
          <w:rFonts w:hint="eastAsia" w:ascii="仿宋" w:hAnsi="仿宋" w:eastAsia="仿宋" w:cs="仿宋"/>
          <w:lang w:eastAsia="zh-CN"/>
        </w:rPr>
        <w:br w:type="textWrapping"/>
      </w:r>
      <w:r>
        <w:rPr>
          <w:rFonts w:hint="eastAsia" w:ascii="仿宋" w:hAnsi="仿宋" w:eastAsia="仿宋" w:cs="仿宋"/>
          <w:lang w:eastAsia="zh-CN"/>
        </w:rPr>
        <w:t>2.1合同价格</w:t>
      </w:r>
      <w:r>
        <w:rPr>
          <w:rFonts w:hint="eastAsia" w:ascii="仿宋" w:hAnsi="仿宋" w:eastAsia="仿宋" w:cs="仿宋"/>
          <w:lang w:eastAsia="zh-CN"/>
        </w:rPr>
        <w:br w:type="textWrapping"/>
      </w:r>
      <w:r>
        <w:rPr>
          <w:rFonts w:hint="eastAsia" w:ascii="仿宋" w:hAnsi="仿宋" w:eastAsia="仿宋" w:cs="仿宋"/>
          <w:lang w:eastAsia="zh-CN"/>
        </w:rPr>
        <w:t xml:space="preserve">    本合同价格为</w:t>
      </w:r>
      <w:r>
        <w:rPr>
          <w:rFonts w:hint="eastAsia" w:ascii="仿宋" w:hAnsi="仿宋" w:eastAsia="仿宋" w:cs="仿宋"/>
          <w:u w:val="single"/>
          <w:lang w:eastAsia="zh-CN"/>
        </w:rPr>
        <w:t xml:space="preserve">            </w:t>
      </w:r>
      <w:r>
        <w:rPr>
          <w:rFonts w:hint="eastAsia" w:ascii="仿宋" w:hAnsi="仿宋" w:eastAsia="仿宋" w:cs="仿宋"/>
          <w:lang w:eastAsia="zh-CN"/>
        </w:rPr>
        <w:t>元整。</w:t>
      </w:r>
      <w:r>
        <w:rPr>
          <w:rFonts w:hint="eastAsia" w:ascii="仿宋" w:hAnsi="仿宋" w:eastAsia="仿宋" w:cs="仿宋"/>
          <w:lang w:eastAsia="zh-CN"/>
        </w:rPr>
        <w:br w:type="textWrapping"/>
      </w:r>
      <w:r>
        <w:rPr>
          <w:rFonts w:hint="eastAsia" w:ascii="仿宋" w:hAnsi="仿宋" w:eastAsia="仿宋" w:cs="仿宋"/>
          <w:lang w:eastAsia="zh-CN"/>
        </w:rPr>
        <w:t xml:space="preserve">    乙方为履行本合同而发生的所有费用均应包含在合同价中，甲方不再另行支付其它任何费用。</w:t>
      </w:r>
      <w:r>
        <w:rPr>
          <w:rFonts w:hint="eastAsia" w:ascii="仿宋" w:hAnsi="仿宋" w:eastAsia="仿宋" w:cs="仿宋"/>
          <w:u w:val="single"/>
          <w:lang w:eastAsia="zh-CN"/>
        </w:rPr>
        <w:t xml:space="preserve">           </w:t>
      </w:r>
    </w:p>
    <w:p w14:paraId="395977FF">
      <w:pPr>
        <w:spacing w:line="360" w:lineRule="exact"/>
        <w:jc w:val="left"/>
        <w:rPr>
          <w:rFonts w:hint="eastAsia" w:ascii="仿宋" w:hAnsi="仿宋" w:eastAsia="仿宋" w:cs="仿宋"/>
          <w:lang w:eastAsia="zh-CN"/>
        </w:rPr>
      </w:pPr>
      <w:r>
        <w:rPr>
          <w:rFonts w:hint="eastAsia" w:ascii="仿宋" w:hAnsi="仿宋" w:eastAsia="仿宋" w:cs="仿宋"/>
          <w:b/>
          <w:bCs/>
          <w:lang w:eastAsia="zh-CN"/>
        </w:rPr>
        <w:t>3．质量标准和要求</w:t>
      </w:r>
      <w:r>
        <w:rPr>
          <w:rFonts w:hint="eastAsia" w:ascii="仿宋" w:hAnsi="仿宋" w:eastAsia="仿宋" w:cs="仿宋"/>
          <w:lang w:eastAsia="zh-CN"/>
        </w:rPr>
        <w:br w:type="textWrapping"/>
      </w:r>
      <w:r>
        <w:rPr>
          <w:rFonts w:hint="eastAsia" w:ascii="仿宋" w:hAnsi="仿宋" w:eastAsia="仿宋" w:cs="仿宋"/>
          <w:lang w:eastAsia="zh-CN"/>
        </w:rPr>
        <w:t>3.1乙方所提供的设备质量标准按照国家标准、行业标准或制造厂家企业标准确定，上述标准不一致的，以严格的标准为准。没有国家标准、行业标准和企业标准的，按照通常标准或者符合合同目的的特定标准确定。</w:t>
      </w:r>
    </w:p>
    <w:p w14:paraId="6820AA04">
      <w:pPr>
        <w:spacing w:line="360" w:lineRule="exact"/>
        <w:jc w:val="left"/>
        <w:rPr>
          <w:rFonts w:hint="eastAsia" w:ascii="仿宋" w:hAnsi="仿宋" w:eastAsia="仿宋" w:cs="仿宋"/>
          <w:lang w:eastAsia="zh-CN"/>
        </w:rPr>
      </w:pPr>
      <w:r>
        <w:rPr>
          <w:rFonts w:hint="eastAsia" w:ascii="仿宋" w:hAnsi="仿宋" w:eastAsia="仿宋" w:cs="仿宋"/>
          <w:lang w:eastAsia="zh-CN"/>
        </w:rPr>
        <w:t>3.2设备质保期一年，验收通过之日起算。</w:t>
      </w:r>
    </w:p>
    <w:p w14:paraId="2B5CE118">
      <w:pPr>
        <w:spacing w:line="360" w:lineRule="exact"/>
        <w:jc w:val="left"/>
        <w:rPr>
          <w:rFonts w:hint="eastAsia" w:ascii="仿宋" w:hAnsi="仿宋" w:eastAsia="仿宋" w:cs="仿宋"/>
          <w:lang w:eastAsia="zh-CN"/>
        </w:rPr>
      </w:pPr>
      <w:r>
        <w:rPr>
          <w:rFonts w:hint="eastAsia" w:ascii="仿宋" w:hAnsi="仿宋" w:eastAsia="仿宋" w:cs="仿宋"/>
          <w:lang w:eastAsia="zh-CN"/>
        </w:rPr>
        <w:t>4</w:t>
      </w:r>
      <w:r>
        <w:rPr>
          <w:rFonts w:hint="eastAsia" w:ascii="仿宋" w:hAnsi="仿宋" w:eastAsia="仿宋" w:cs="仿宋"/>
          <w:b/>
          <w:bCs/>
          <w:lang w:eastAsia="zh-CN"/>
        </w:rPr>
        <w:t>．验收</w:t>
      </w:r>
      <w:r>
        <w:rPr>
          <w:rFonts w:hint="eastAsia" w:ascii="仿宋" w:hAnsi="仿宋" w:eastAsia="仿宋" w:cs="仿宋"/>
          <w:lang w:eastAsia="zh-CN"/>
        </w:rPr>
        <w:br w:type="textWrapping"/>
      </w:r>
      <w:r>
        <w:rPr>
          <w:rFonts w:hint="eastAsia" w:ascii="仿宋" w:hAnsi="仿宋" w:eastAsia="仿宋" w:cs="仿宋"/>
          <w:lang w:eastAsia="zh-CN"/>
        </w:rPr>
        <w:t>4.1服务根据合同的规定完成后，甲方应及时进行根据合同的规定进行验收。</w:t>
      </w:r>
      <w:r>
        <w:rPr>
          <w:rFonts w:hint="eastAsia" w:ascii="仿宋" w:hAnsi="仿宋" w:eastAsia="仿宋" w:cs="仿宋"/>
          <w:lang w:eastAsia="zh-CN"/>
        </w:rPr>
        <w:br w:type="textWrapping"/>
      </w:r>
      <w:r>
        <w:rPr>
          <w:rFonts w:hint="eastAsia" w:ascii="仿宋" w:hAnsi="仿宋" w:eastAsia="仿宋" w:cs="仿宋"/>
          <w:lang w:eastAsia="zh-CN"/>
        </w:rPr>
        <w:t>4.2如果属于乙方原因致使货物未能通过验收，乙方应当排除故障，并自行承担相关费用，同时进行试运行，直至货物完全符合验收标准。</w:t>
      </w:r>
      <w:r>
        <w:rPr>
          <w:rFonts w:hint="eastAsia" w:ascii="仿宋" w:hAnsi="仿宋" w:eastAsia="仿宋" w:cs="仿宋"/>
          <w:lang w:eastAsia="zh-CN"/>
        </w:rPr>
        <w:br w:type="textWrapping"/>
      </w:r>
      <w:r>
        <w:rPr>
          <w:rFonts w:hint="eastAsia" w:ascii="仿宋" w:hAnsi="仿宋" w:eastAsia="仿宋" w:cs="仿宋"/>
          <w:lang w:eastAsia="zh-CN"/>
        </w:rPr>
        <w:t>4.3如果属于甲方原因致使货物未能通过验收，甲方应在合理时间内排除故障，再次进行验收。如果属于故障之外的原因，除本合同规定的不可抗力外，甲方不愿或未能在规定的时间内完成验收，则由乙方单方面进行验收，并将验收报告提交甲方，即视为验收通过。</w:t>
      </w:r>
      <w:r>
        <w:rPr>
          <w:rFonts w:hint="eastAsia" w:ascii="仿宋" w:hAnsi="仿宋" w:eastAsia="仿宋" w:cs="仿宋"/>
          <w:lang w:eastAsia="zh-CN"/>
        </w:rPr>
        <w:br w:type="textWrapping"/>
      </w:r>
      <w:r>
        <w:rPr>
          <w:rFonts w:hint="eastAsia" w:ascii="仿宋" w:hAnsi="仿宋" w:eastAsia="仿宋" w:cs="仿宋"/>
          <w:lang w:eastAsia="zh-CN"/>
        </w:rPr>
        <w:t>4.4甲方根据合同的规定对货物验收合格后，甲方收取发票并签署验收意见。</w:t>
      </w:r>
    </w:p>
    <w:p w14:paraId="6B0CC9DC">
      <w:pPr>
        <w:spacing w:line="360" w:lineRule="exact"/>
        <w:jc w:val="left"/>
        <w:rPr>
          <w:rFonts w:hint="eastAsia" w:ascii="仿宋" w:hAnsi="仿宋" w:eastAsia="仿宋" w:cs="仿宋"/>
          <w:u w:val="single"/>
          <w:lang w:eastAsia="zh-CN"/>
        </w:rPr>
      </w:pPr>
      <w:r>
        <w:rPr>
          <w:rFonts w:hint="eastAsia" w:ascii="仿宋" w:hAnsi="仿宋" w:eastAsia="仿宋" w:cs="仿宋"/>
          <w:b/>
          <w:bCs/>
          <w:lang w:eastAsia="zh-CN"/>
        </w:rPr>
        <w:t>5．付款</w:t>
      </w:r>
      <w:r>
        <w:rPr>
          <w:rFonts w:hint="eastAsia" w:ascii="仿宋" w:hAnsi="仿宋" w:eastAsia="仿宋" w:cs="仿宋"/>
          <w:lang w:eastAsia="zh-CN"/>
        </w:rPr>
        <w:br w:type="textWrapping"/>
      </w:r>
      <w:r>
        <w:rPr>
          <w:rFonts w:hint="eastAsia" w:ascii="仿宋" w:hAnsi="仿宋" w:eastAsia="仿宋" w:cs="仿宋"/>
          <w:highlight w:val="none"/>
          <w:lang w:eastAsia="zh-CN"/>
        </w:rPr>
        <w:t>5.1本合同以人民币付款（单位：</w:t>
      </w:r>
      <w:r>
        <w:rPr>
          <w:rFonts w:hint="eastAsia" w:ascii="仿宋" w:hAnsi="仿宋" w:eastAsia="仿宋" w:cs="仿宋"/>
          <w:highlight w:val="none"/>
          <w:u w:val="single"/>
          <w:lang w:eastAsia="zh-CN"/>
        </w:rPr>
        <w:t xml:space="preserve">          </w:t>
      </w:r>
      <w:r>
        <w:rPr>
          <w:rFonts w:hint="eastAsia" w:ascii="仿宋" w:hAnsi="仿宋" w:eastAsia="仿宋" w:cs="仿宋"/>
          <w:highlight w:val="none"/>
          <w:lang w:eastAsia="zh-CN"/>
        </w:rPr>
        <w:t>元）。</w:t>
      </w:r>
      <w:r>
        <w:rPr>
          <w:rFonts w:hint="eastAsia" w:ascii="仿宋" w:hAnsi="仿宋" w:eastAsia="仿宋" w:cs="仿宋"/>
          <w:highlight w:val="none"/>
          <w:lang w:eastAsia="zh-CN"/>
        </w:rPr>
        <w:br w:type="textWrapping"/>
      </w:r>
      <w:r>
        <w:rPr>
          <w:rFonts w:hint="eastAsia" w:ascii="仿宋" w:hAnsi="仿宋" w:eastAsia="仿宋" w:cs="仿宋"/>
          <w:highlight w:val="none"/>
          <w:lang w:eastAsia="zh-CN"/>
        </w:rPr>
        <w:t>5.2本合同款项按照以下方式支付。</w:t>
      </w:r>
      <w:r>
        <w:rPr>
          <w:rFonts w:hint="eastAsia" w:ascii="仿宋" w:hAnsi="仿宋" w:eastAsia="仿宋" w:cs="仿宋"/>
          <w:highlight w:val="none"/>
          <w:lang w:eastAsia="zh-CN"/>
        </w:rPr>
        <w:br w:type="textWrapping"/>
      </w:r>
      <w:r>
        <w:rPr>
          <w:rFonts w:hint="eastAsia" w:ascii="仿宋" w:hAnsi="仿宋" w:eastAsia="仿宋" w:cs="仿宋"/>
          <w:highlight w:val="none"/>
          <w:lang w:eastAsia="zh-CN"/>
        </w:rPr>
        <w:t xml:space="preserve">5.2.1付款内容： </w:t>
      </w:r>
      <w:r>
        <w:rPr>
          <w:rFonts w:hint="eastAsia" w:ascii="仿宋" w:hAnsi="仿宋" w:eastAsia="仿宋" w:cs="仿宋"/>
          <w:highlight w:val="none"/>
          <w:u w:val="single"/>
          <w:lang w:eastAsia="zh-CN"/>
        </w:rPr>
        <w:t>货到通过验收后一次性付清全款</w:t>
      </w:r>
    </w:p>
    <w:p w14:paraId="0BFFA8BB">
      <w:pPr>
        <w:spacing w:line="360" w:lineRule="exact"/>
        <w:jc w:val="left"/>
        <w:rPr>
          <w:rFonts w:hint="eastAsia" w:ascii="仿宋" w:hAnsi="仿宋" w:eastAsia="仿宋" w:cs="仿宋"/>
          <w:b/>
          <w:bCs/>
          <w:lang w:eastAsia="zh-CN"/>
        </w:rPr>
      </w:pPr>
      <w:r>
        <w:rPr>
          <w:rFonts w:hint="eastAsia" w:ascii="仿宋" w:hAnsi="仿宋" w:eastAsia="仿宋" w:cs="仿宋"/>
          <w:b/>
          <w:bCs/>
          <w:lang w:eastAsia="zh-CN"/>
        </w:rPr>
        <w:t>6.保密义务</w:t>
      </w:r>
    </w:p>
    <w:p w14:paraId="2004F4FB">
      <w:pPr>
        <w:spacing w:line="360" w:lineRule="exact"/>
        <w:jc w:val="left"/>
        <w:rPr>
          <w:rFonts w:hint="eastAsia" w:ascii="仿宋" w:hAnsi="仿宋" w:eastAsia="仿宋" w:cs="仿宋"/>
          <w:lang w:eastAsia="zh-CN"/>
        </w:rPr>
      </w:pPr>
      <w:r>
        <w:rPr>
          <w:rFonts w:hint="eastAsia" w:ascii="仿宋" w:hAnsi="仿宋" w:eastAsia="仿宋" w:cs="仿宋"/>
          <w:lang w:eastAsia="zh-CN"/>
        </w:rPr>
        <w:t>乙方在向甲方提供服务过程中，对其获知的各类资料和信息，包括但不限于涉及国家秘密、商业秘密、个人隐私和其他不宜公开的技术资料、数据信息等资料和信息，承担保密义务，未经甲方书面同意，乙方不得以任何方式提供或披露给第三方。如乙方提供服务过程中涉及上述资料信息使用的，乙方应当按照甲方规定的使用用途和方式，正当、合理、审慎地使用涉及保密义务的资料和信息。</w:t>
      </w:r>
    </w:p>
    <w:p w14:paraId="75DB895E">
      <w:pPr>
        <w:spacing w:line="360" w:lineRule="exact"/>
        <w:jc w:val="left"/>
        <w:rPr>
          <w:rFonts w:hint="eastAsia" w:ascii="仿宋" w:hAnsi="仿宋" w:eastAsia="仿宋" w:cs="仿宋"/>
          <w:b/>
          <w:bCs/>
          <w:lang w:eastAsia="zh-CN"/>
        </w:rPr>
      </w:pPr>
      <w:r>
        <w:rPr>
          <w:rFonts w:hint="eastAsia" w:ascii="仿宋" w:hAnsi="仿宋" w:eastAsia="仿宋" w:cs="仿宋"/>
          <w:b/>
          <w:bCs/>
          <w:lang w:eastAsia="zh-CN"/>
        </w:rPr>
        <w:t>7.违约金或者损失赔偿额的计算方法</w:t>
      </w:r>
    </w:p>
    <w:p w14:paraId="79D3A6AB">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违反本合同约定，违约方应当按照《中华人民共和国民法典》合同编的有关条款规定，承担违约责任。</w:t>
      </w:r>
    </w:p>
    <w:p w14:paraId="323AC585">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一）合同生效后，甲方不得无故终止合同履行。若甲方执意终止合同，应按乙方已开展的实际工作量支付乙方费用。若该费用低于本合同总额20%，按合同报酬总额20%计。实际工作量乙方给出书面说明和相关依据。</w:t>
      </w:r>
    </w:p>
    <w:p w14:paraId="004482DA">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（二）合同生效后，乙方不得无故中途解除合同；若乙方执意解除合同，应全额退还甲方支付的费用。若该费用低于本合同总额20%，按合同报酬总额20%计。</w:t>
      </w:r>
    </w:p>
    <w:p w14:paraId="5C8C565D">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（三）其它：</w:t>
      </w:r>
    </w:p>
    <w:p w14:paraId="40AAFDE8">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1.甲、乙双方应认真履行合同，由于某一方的故意或过失使合同不能履行或造成其它后果的，由违约方承担相应责任；如在项目实施过程中，乙方违约情节严重，甲方有权终止合同，由此造成甲方的经济损失由乙方承担。如属双方过失，则根据各自过失的大小，分别承担相应的责任。</w:t>
      </w:r>
    </w:p>
    <w:p w14:paraId="2E35E3B1">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2.由于不可抗力造成合同不能履行时，遭受不可抗力影响的一方应采取积极的措施，并向另一方书面说明，就此情况下造成的合同延期履行、中止或提前终止，甲、乙双方均不承担责任。如造成任何一方损失的，则由损失方自理。</w:t>
      </w:r>
    </w:p>
    <w:p w14:paraId="6099D360">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3.为贯彻落实廉政要求，维护采购结果的公正性，保证合同顺利履行，乙方在本项目中需按照《廉洁履约承诺书》相关要求严格约束自身行为，遵守廉洁承诺为本合同履行不可分割的一部分。若乙方违背上述条款，甲方有权视情节轻重，扣除相应合同款项或者单方解除合同并要求乙方对合同解除给甲方造成的损失进行赔偿。</w:t>
      </w:r>
    </w:p>
    <w:p w14:paraId="13E644A3">
      <w:pPr>
        <w:numPr>
          <w:ilvl w:val="255"/>
          <w:numId w:val="0"/>
        </w:numPr>
        <w:spacing w:before="100" w:after="100" w:line="360" w:lineRule="exact"/>
        <w:rPr>
          <w:rFonts w:hint="eastAsia" w:ascii="仿宋" w:hAnsi="仿宋" w:eastAsia="仿宋" w:cs="仿宋"/>
          <w:b/>
          <w:bCs/>
          <w:lang w:eastAsia="zh-CN"/>
        </w:rPr>
      </w:pPr>
      <w:r>
        <w:rPr>
          <w:rFonts w:hint="eastAsia" w:ascii="仿宋" w:hAnsi="仿宋" w:eastAsia="仿宋" w:cs="仿宋"/>
          <w:b/>
          <w:bCs/>
          <w:lang w:eastAsia="zh-CN"/>
        </w:rPr>
        <w:t>8.解决合同纠纷的方式</w:t>
      </w:r>
    </w:p>
    <w:p w14:paraId="5C709320">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在履行本合同过程中发生争议，当事人双方可以协商，通过和解或者调解解决。当事人不愿协商、和解、调解或者和解、调解不成，采用以下第（二）种方式解决。</w:t>
      </w:r>
    </w:p>
    <w:p w14:paraId="7EE067E9">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双方同意由   /   仲裁委员会仲裁。</w:t>
      </w:r>
    </w:p>
    <w:p w14:paraId="5C113DE0">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（二）向人民法院起诉，约定  ②  人民法院管辖。</w:t>
      </w:r>
    </w:p>
    <w:p w14:paraId="6244F49D">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①被告住所地   ②合同履行地   ③合同签订地</w:t>
      </w:r>
    </w:p>
    <w:p w14:paraId="316EA5B5">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④原告住所地   ⑤标的物所在地</w:t>
      </w:r>
    </w:p>
    <w:p w14:paraId="23A191C7">
      <w:pPr>
        <w:numPr>
          <w:ilvl w:val="255"/>
          <w:numId w:val="0"/>
        </w:numPr>
        <w:spacing w:before="100" w:after="100" w:line="360" w:lineRule="exact"/>
        <w:rPr>
          <w:rFonts w:hint="eastAsia" w:ascii="仿宋" w:hAnsi="仿宋" w:eastAsia="仿宋" w:cs="仿宋"/>
          <w:b/>
          <w:bCs/>
          <w:lang w:eastAsia="zh-CN"/>
        </w:rPr>
      </w:pPr>
      <w:r>
        <w:rPr>
          <w:rFonts w:hint="eastAsia" w:ascii="仿宋" w:hAnsi="仿宋" w:eastAsia="仿宋" w:cs="仿宋"/>
          <w:b/>
          <w:bCs/>
          <w:lang w:eastAsia="zh-CN"/>
        </w:rPr>
        <w:t>9.其它条款</w:t>
      </w:r>
    </w:p>
    <w:p w14:paraId="445BB43D">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1.本合同全部附件为合同的组成部分，经过招投标的项目，招投标文件视为合同的一部分，并与合同一起阅读和解释。</w:t>
      </w:r>
    </w:p>
    <w:p w14:paraId="2AE4E5C9">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2项目款应实行专款专用，并符合财政相关管理规定。</w:t>
      </w:r>
    </w:p>
    <w:p w14:paraId="4969EA42">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3.本合同经合同各方盖章后生效。本合同有未尽事宜或合同生效后，合同履行的基础条件发生重大变更的，可由双方协商并通过签订补充合同的方式对相关内容予以变更确认。</w:t>
      </w:r>
    </w:p>
    <w:p w14:paraId="34E62AC4">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4.本合同一式  四  份，并且从合同签订日期起生效。</w:t>
      </w:r>
    </w:p>
    <w:p w14:paraId="58BC9331">
      <w:pPr>
        <w:adjustRightInd w:val="0"/>
        <w:snapToGrid w:val="0"/>
        <w:spacing w:line="360" w:lineRule="exact"/>
        <w:ind w:firstLine="480" w:firstLineChars="200"/>
        <w:jc w:val="left"/>
        <w:rPr>
          <w:rFonts w:hint="eastAsia" w:ascii="仿宋" w:hAnsi="仿宋" w:eastAsia="仿宋" w:cs="仿宋"/>
          <w:lang w:eastAsia="zh-CN"/>
        </w:rPr>
      </w:pPr>
      <w:r>
        <w:rPr>
          <w:rFonts w:hint="eastAsia" w:ascii="仿宋" w:hAnsi="仿宋" w:eastAsia="仿宋" w:cs="仿宋"/>
          <w:lang w:eastAsia="zh-CN"/>
        </w:rPr>
        <w:t xml:space="preserve">   上述条款未尽事宜，双方协商解决。</w:t>
      </w:r>
    </w:p>
    <w:p w14:paraId="1D3891AE">
      <w:pPr>
        <w:jc w:val="left"/>
        <w:rPr>
          <w:rFonts w:hint="eastAsia" w:ascii="仿宋" w:hAnsi="仿宋" w:eastAsia="仿宋" w:cs="仿宋"/>
          <w:lang w:eastAsia="zh-CN"/>
        </w:rPr>
      </w:pPr>
    </w:p>
    <w:p w14:paraId="59E8D1EE">
      <w:pPr>
        <w:ind w:firstLine="480"/>
        <w:jc w:val="left"/>
        <w:rPr>
          <w:rFonts w:hint="eastAsia" w:ascii="仿宋" w:hAnsi="仿宋" w:eastAsia="仿宋" w:cs="仿宋"/>
        </w:rPr>
      </w:pPr>
      <w:r>
        <w:rPr>
          <w:rFonts w:hint="eastAsia" w:ascii="仿宋" w:hAnsi="仿宋" w:eastAsia="仿宋" w:cs="仿宋"/>
        </w:rPr>
        <w:t>签约各方：</w:t>
      </w:r>
    </w:p>
    <w:tbl>
      <w:tblPr>
        <w:tblStyle w:val="40"/>
        <w:tblW w:w="0" w:type="auto"/>
        <w:tblCellSpacing w:w="7" w:type="dxa"/>
        <w:tblInd w:w="0" w:type="dxa"/>
        <w:tblLayout w:type="fixed"/>
        <w:tblCellMar>
          <w:top w:w="15" w:type="dxa"/>
          <w:left w:w="15" w:type="dxa"/>
          <w:bottom w:w="15" w:type="dxa"/>
          <w:right w:w="15" w:type="dxa"/>
        </w:tblCellMar>
      </w:tblPr>
      <w:tblGrid>
        <w:gridCol w:w="4549"/>
        <w:gridCol w:w="4501"/>
      </w:tblGrid>
      <w:tr w14:paraId="18BAE9F4">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14:paraId="2C8677B4">
            <w:pPr>
              <w:ind w:firstLine="480"/>
              <w:jc w:val="left"/>
              <w:rPr>
                <w:rFonts w:hint="eastAsia" w:ascii="仿宋" w:hAnsi="仿宋" w:eastAsia="仿宋" w:cs="仿宋"/>
              </w:rPr>
            </w:pPr>
            <w:r>
              <w:rPr>
                <w:rFonts w:hint="eastAsia" w:ascii="仿宋" w:hAnsi="仿宋" w:eastAsia="仿宋" w:cs="仿宋"/>
              </w:rPr>
              <w:t>甲方（盖章）：</w:t>
            </w:r>
          </w:p>
        </w:tc>
        <w:tc>
          <w:tcPr>
            <w:tcW w:w="4480" w:type="dxa"/>
            <w:tcBorders>
              <w:tl2br w:val="nil"/>
              <w:tr2bl w:val="nil"/>
            </w:tcBorders>
            <w:vAlign w:val="center"/>
          </w:tcPr>
          <w:p w14:paraId="11FF3DD4">
            <w:pPr>
              <w:ind w:firstLine="480"/>
              <w:jc w:val="left"/>
              <w:rPr>
                <w:rFonts w:hint="eastAsia" w:ascii="仿宋" w:hAnsi="仿宋" w:eastAsia="仿宋" w:cs="仿宋"/>
              </w:rPr>
            </w:pPr>
            <w:r>
              <w:rPr>
                <w:rFonts w:hint="eastAsia" w:ascii="仿宋" w:hAnsi="仿宋" w:eastAsia="仿宋" w:cs="仿宋"/>
              </w:rPr>
              <w:t xml:space="preserve">乙方（盖章）： </w:t>
            </w:r>
          </w:p>
        </w:tc>
      </w:tr>
      <w:tr w14:paraId="2CF557DF">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14:paraId="11E9E73B">
            <w:pPr>
              <w:ind w:firstLine="480"/>
              <w:jc w:val="left"/>
              <w:rPr>
                <w:rFonts w:hint="eastAsia" w:ascii="仿宋" w:hAnsi="仿宋" w:eastAsia="仿宋" w:cs="仿宋"/>
                <w:lang w:eastAsia="zh-CN"/>
              </w:rPr>
            </w:pPr>
            <w:r>
              <w:rPr>
                <w:rFonts w:hint="eastAsia" w:ascii="仿宋" w:hAnsi="仿宋" w:eastAsia="仿宋" w:cs="仿宋"/>
                <w:lang w:eastAsia="zh-CN"/>
              </w:rPr>
              <w:t>法定代表人或授权委托人（签章）：</w:t>
            </w:r>
          </w:p>
          <w:p w14:paraId="7B3FEE73">
            <w:pPr>
              <w:ind w:firstLine="480"/>
              <w:jc w:val="left"/>
              <w:rPr>
                <w:rFonts w:hint="eastAsia" w:ascii="仿宋" w:hAnsi="仿宋" w:eastAsia="仿宋" w:cs="仿宋"/>
                <w:lang w:eastAsia="zh-CN"/>
              </w:rPr>
            </w:pPr>
          </w:p>
        </w:tc>
        <w:tc>
          <w:tcPr>
            <w:tcW w:w="4480" w:type="dxa"/>
            <w:tcBorders>
              <w:tl2br w:val="nil"/>
              <w:tr2bl w:val="nil"/>
            </w:tcBorders>
            <w:vAlign w:val="center"/>
          </w:tcPr>
          <w:p w14:paraId="509DACC0">
            <w:pPr>
              <w:ind w:firstLine="480"/>
              <w:jc w:val="left"/>
              <w:rPr>
                <w:rFonts w:hint="eastAsia" w:ascii="仿宋" w:hAnsi="仿宋" w:eastAsia="仿宋" w:cs="仿宋"/>
                <w:lang w:eastAsia="zh-CN"/>
              </w:rPr>
            </w:pPr>
            <w:r>
              <w:rPr>
                <w:rFonts w:hint="eastAsia" w:ascii="仿宋" w:hAnsi="仿宋" w:eastAsia="仿宋" w:cs="仿宋"/>
                <w:lang w:eastAsia="zh-CN"/>
              </w:rPr>
              <w:t>法定代表人或授权委托人（签章）：</w:t>
            </w:r>
          </w:p>
          <w:p w14:paraId="7B9EFF28">
            <w:pPr>
              <w:ind w:firstLine="480"/>
              <w:jc w:val="left"/>
              <w:rPr>
                <w:rFonts w:hint="eastAsia" w:ascii="仿宋" w:hAnsi="仿宋" w:eastAsia="仿宋" w:cs="仿宋"/>
                <w:lang w:eastAsia="zh-CN"/>
              </w:rPr>
            </w:pPr>
          </w:p>
        </w:tc>
      </w:tr>
      <w:tr w14:paraId="128E44AC">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14:paraId="714D2061">
            <w:pPr>
              <w:ind w:firstLine="480"/>
              <w:jc w:val="left"/>
              <w:rPr>
                <w:rFonts w:hint="eastAsia" w:ascii="仿宋" w:hAnsi="仿宋" w:eastAsia="仿宋" w:cs="仿宋"/>
                <w:lang w:eastAsia="zh-CN"/>
              </w:rPr>
            </w:pPr>
            <w:r>
              <w:rPr>
                <w:rFonts w:hint="eastAsia" w:ascii="仿宋" w:hAnsi="仿宋" w:eastAsia="仿宋" w:cs="仿宋"/>
              </w:rPr>
              <w:t>合同签订地点：</w:t>
            </w:r>
            <w:r>
              <w:rPr>
                <w:rFonts w:hint="eastAsia" w:ascii="仿宋" w:hAnsi="仿宋" w:eastAsia="仿宋" w:cs="仿宋"/>
                <w:lang w:eastAsia="zh-CN"/>
              </w:rPr>
              <w:t>上海松江</w:t>
            </w:r>
          </w:p>
        </w:tc>
        <w:tc>
          <w:tcPr>
            <w:tcW w:w="4480" w:type="dxa"/>
            <w:tcBorders>
              <w:tl2br w:val="nil"/>
              <w:tr2bl w:val="nil"/>
            </w:tcBorders>
            <w:vAlign w:val="center"/>
          </w:tcPr>
          <w:p w14:paraId="1972C696">
            <w:pPr>
              <w:ind w:firstLine="480"/>
              <w:jc w:val="left"/>
              <w:rPr>
                <w:rFonts w:hint="eastAsia" w:ascii="仿宋" w:hAnsi="仿宋" w:eastAsia="仿宋" w:cs="仿宋"/>
              </w:rPr>
            </w:pPr>
            <w:r>
              <w:rPr>
                <w:rFonts w:hint="eastAsia" w:ascii="仿宋" w:hAnsi="仿宋" w:eastAsia="仿宋" w:cs="仿宋"/>
              </w:rPr>
              <w:t>合同签订地点：</w:t>
            </w:r>
            <w:r>
              <w:rPr>
                <w:rFonts w:hint="eastAsia" w:ascii="仿宋" w:hAnsi="仿宋" w:eastAsia="仿宋" w:cs="仿宋"/>
                <w:lang w:eastAsia="zh-CN"/>
              </w:rPr>
              <w:t>上海松江</w:t>
            </w:r>
          </w:p>
        </w:tc>
      </w:tr>
      <w:tr w14:paraId="61DEF602">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14:paraId="1C120FC8">
            <w:pPr>
              <w:ind w:firstLine="480" w:firstLineChars="200"/>
              <w:jc w:val="left"/>
              <w:rPr>
                <w:rFonts w:hint="eastAsia" w:ascii="仿宋" w:hAnsi="仿宋" w:eastAsia="仿宋" w:cs="仿宋"/>
              </w:rPr>
            </w:pPr>
            <w:r>
              <w:rPr>
                <w:rFonts w:hint="eastAsia" w:ascii="仿宋" w:hAnsi="仿宋" w:eastAsia="仿宋" w:cs="仿宋"/>
              </w:rPr>
              <w:t>日期：</w:t>
            </w:r>
          </w:p>
        </w:tc>
        <w:tc>
          <w:tcPr>
            <w:tcW w:w="4480" w:type="dxa"/>
            <w:tcBorders>
              <w:tl2br w:val="nil"/>
              <w:tr2bl w:val="nil"/>
            </w:tcBorders>
            <w:vAlign w:val="center"/>
          </w:tcPr>
          <w:p w14:paraId="428839DB">
            <w:pPr>
              <w:ind w:firstLine="480"/>
              <w:jc w:val="left"/>
              <w:rPr>
                <w:rFonts w:hint="eastAsia" w:ascii="仿宋" w:hAnsi="仿宋" w:eastAsia="仿宋" w:cs="仿宋"/>
              </w:rPr>
            </w:pPr>
            <w:r>
              <w:rPr>
                <w:rFonts w:hint="eastAsia" w:ascii="仿宋" w:hAnsi="仿宋" w:eastAsia="仿宋" w:cs="仿宋"/>
              </w:rPr>
              <w:t>日期：</w:t>
            </w:r>
          </w:p>
        </w:tc>
      </w:tr>
    </w:tbl>
    <w:p w14:paraId="239093D7">
      <w:pPr>
        <w:tabs>
          <w:tab w:val="left" w:pos="1440"/>
        </w:tabs>
        <w:snapToGrid w:val="0"/>
        <w:ind w:firstLine="480" w:firstLineChars="200"/>
        <w:rPr>
          <w:rFonts w:hint="eastAsia" w:ascii="仿宋" w:hAnsi="仿宋" w:eastAsia="仿宋" w:cs="仿宋"/>
        </w:rPr>
      </w:pPr>
    </w:p>
    <w:p w14:paraId="7D2D5059">
      <w:pPr>
        <w:spacing w:line="460" w:lineRule="exact"/>
        <w:ind w:firstLine="560" w:firstLineChars="200"/>
        <w:rPr>
          <w:rFonts w:hint="eastAsia" w:ascii="仿宋_GB2312" w:hAnsi="仿宋_GB2312" w:eastAsia="仿宋_GB2312" w:cs="仿宋_GB2312"/>
          <w:color w:val="0F1115"/>
          <w:sz w:val="28"/>
          <w:szCs w:val="28"/>
          <w:shd w:val="clear" w:color="auto" w:fill="FFFFFF"/>
          <w:lang w:eastAsia="zh-CN"/>
        </w:rPr>
      </w:pPr>
    </w:p>
    <w:p w14:paraId="01A0155B">
      <w:pPr>
        <w:pStyle w:val="4"/>
        <w:rPr>
          <w:lang w:eastAsia="zh-CN"/>
        </w:rPr>
      </w:pPr>
    </w:p>
    <w:sectPr>
      <w:pgSz w:w="11906" w:h="16838"/>
      <w:pgMar w:top="1417" w:right="1417" w:bottom="1417" w:left="1417" w:header="720" w:footer="720" w:gutter="0"/>
      <w:pgNumType w:start="1"/>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Liberation Mono">
    <w:altName w:val="Courier New"/>
    <w:panose1 w:val="02070409020205020404"/>
    <w:charset w:val="00"/>
    <w:family w:val="auto"/>
    <w:pitch w:val="default"/>
    <w:sig w:usb0="00000000" w:usb1="00000000" w:usb2="00000000" w:usb3="00000000" w:csb0="6000009F" w:csb1="DFD70000"/>
  </w:font>
  <w:font w:name="ＭＳ 明朝">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7803DA4"/>
    <w:multiLevelType w:val="multilevel"/>
    <w:tmpl w:val="17803DA4"/>
    <w:lvl w:ilvl="0" w:tentative="0">
      <w:start w:val="1"/>
      <w:numFmt w:val="decimal"/>
      <w:pStyle w:val="178"/>
      <w:lvlText w:val="（%1）"/>
      <w:lvlJc w:val="left"/>
      <w:pPr>
        <w:ind w:left="1080" w:hanging="1080"/>
      </w:pPr>
      <w:rPr>
        <w:rFonts w:hint="default"/>
      </w:rPr>
    </w:lvl>
    <w:lvl w:ilvl="1" w:tentative="0">
      <w:start w:val="1"/>
      <w:numFmt w:val="lowerLetter"/>
      <w:lvlText w:val="%2)"/>
      <w:lvlJc w:val="left"/>
      <w:pPr>
        <w:ind w:left="1625" w:hanging="420"/>
      </w:pPr>
    </w:lvl>
    <w:lvl w:ilvl="2" w:tentative="0">
      <w:start w:val="1"/>
      <w:numFmt w:val="lowerRoman"/>
      <w:lvlText w:val="%3."/>
      <w:lvlJc w:val="right"/>
      <w:pPr>
        <w:ind w:left="2045" w:hanging="420"/>
      </w:pPr>
    </w:lvl>
    <w:lvl w:ilvl="3" w:tentative="0">
      <w:start w:val="1"/>
      <w:numFmt w:val="decimal"/>
      <w:lvlText w:val="%4."/>
      <w:lvlJc w:val="left"/>
      <w:pPr>
        <w:ind w:left="2465" w:hanging="420"/>
      </w:pPr>
    </w:lvl>
    <w:lvl w:ilvl="4" w:tentative="0">
      <w:start w:val="1"/>
      <w:numFmt w:val="lowerLetter"/>
      <w:lvlText w:val="%5)"/>
      <w:lvlJc w:val="left"/>
      <w:pPr>
        <w:ind w:left="2885" w:hanging="420"/>
      </w:pPr>
    </w:lvl>
    <w:lvl w:ilvl="5" w:tentative="0">
      <w:start w:val="1"/>
      <w:numFmt w:val="lowerRoman"/>
      <w:lvlText w:val="%6."/>
      <w:lvlJc w:val="right"/>
      <w:pPr>
        <w:ind w:left="3305" w:hanging="420"/>
      </w:pPr>
    </w:lvl>
    <w:lvl w:ilvl="6" w:tentative="0">
      <w:start w:val="1"/>
      <w:numFmt w:val="decimal"/>
      <w:lvlText w:val="%7."/>
      <w:lvlJc w:val="left"/>
      <w:pPr>
        <w:ind w:left="3725" w:hanging="420"/>
      </w:pPr>
    </w:lvl>
    <w:lvl w:ilvl="7" w:tentative="0">
      <w:start w:val="1"/>
      <w:numFmt w:val="lowerLetter"/>
      <w:lvlText w:val="%8)"/>
      <w:lvlJc w:val="left"/>
      <w:pPr>
        <w:ind w:left="4145" w:hanging="420"/>
      </w:pPr>
    </w:lvl>
    <w:lvl w:ilvl="8" w:tentative="0">
      <w:start w:val="1"/>
      <w:numFmt w:val="lowerRoman"/>
      <w:lvlText w:val="%9."/>
      <w:lvlJc w:val="right"/>
      <w:pPr>
        <w:ind w:left="4565" w:hanging="42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7E"/>
    <w:rsid w:val="000925CA"/>
    <w:rsid w:val="0015074B"/>
    <w:rsid w:val="002664C5"/>
    <w:rsid w:val="0029639D"/>
    <w:rsid w:val="00326F90"/>
    <w:rsid w:val="00374BBB"/>
    <w:rsid w:val="003B4051"/>
    <w:rsid w:val="0040728D"/>
    <w:rsid w:val="00451E47"/>
    <w:rsid w:val="00471EFC"/>
    <w:rsid w:val="00612F5D"/>
    <w:rsid w:val="00662D44"/>
    <w:rsid w:val="006874BB"/>
    <w:rsid w:val="007113BB"/>
    <w:rsid w:val="00752F40"/>
    <w:rsid w:val="007B3509"/>
    <w:rsid w:val="00875C1E"/>
    <w:rsid w:val="008E2ABE"/>
    <w:rsid w:val="009526E6"/>
    <w:rsid w:val="009D1CC0"/>
    <w:rsid w:val="009F54FB"/>
    <w:rsid w:val="00AA1D8D"/>
    <w:rsid w:val="00B47730"/>
    <w:rsid w:val="00CB0664"/>
    <w:rsid w:val="00E47D37"/>
    <w:rsid w:val="00EE7AB4"/>
    <w:rsid w:val="00FB63C4"/>
    <w:rsid w:val="00FC693F"/>
    <w:rsid w:val="04E40141"/>
    <w:rsid w:val="0B7618CA"/>
    <w:rsid w:val="14391796"/>
    <w:rsid w:val="171C5E57"/>
    <w:rsid w:val="1FAE1849"/>
    <w:rsid w:val="23221A11"/>
    <w:rsid w:val="27B75155"/>
    <w:rsid w:val="37CFD2A3"/>
    <w:rsid w:val="395A4645"/>
    <w:rsid w:val="3EDA6B0C"/>
    <w:rsid w:val="3FBC8C4E"/>
    <w:rsid w:val="3FFF4329"/>
    <w:rsid w:val="4804405E"/>
    <w:rsid w:val="4A5D10BC"/>
    <w:rsid w:val="51B4235D"/>
    <w:rsid w:val="53E421E6"/>
    <w:rsid w:val="58FA58CE"/>
    <w:rsid w:val="5BFC6F5F"/>
    <w:rsid w:val="5CE768A3"/>
    <w:rsid w:val="5D6EAE22"/>
    <w:rsid w:val="5EF675F4"/>
    <w:rsid w:val="5F1D41BA"/>
    <w:rsid w:val="5F5908DF"/>
    <w:rsid w:val="5F790AD2"/>
    <w:rsid w:val="65290C3F"/>
    <w:rsid w:val="6A526CDE"/>
    <w:rsid w:val="6BB7C493"/>
    <w:rsid w:val="6E7B2187"/>
    <w:rsid w:val="6F7DF9AB"/>
    <w:rsid w:val="6FB3BCD7"/>
    <w:rsid w:val="71FC1B37"/>
    <w:rsid w:val="739D48C5"/>
    <w:rsid w:val="77A9ADF8"/>
    <w:rsid w:val="79B7A916"/>
    <w:rsid w:val="7AFDC214"/>
    <w:rsid w:val="7CABCA6D"/>
    <w:rsid w:val="7D1D3B52"/>
    <w:rsid w:val="7FAE1153"/>
    <w:rsid w:val="7FDBD3A4"/>
    <w:rsid w:val="7FDF4F28"/>
    <w:rsid w:val="7FFFFA34"/>
    <w:rsid w:val="870F52A3"/>
    <w:rsid w:val="B8FF1920"/>
    <w:rsid w:val="BC7313B8"/>
    <w:rsid w:val="BDBD602C"/>
    <w:rsid w:val="BDEBF2E7"/>
    <w:rsid w:val="CC5B4409"/>
    <w:rsid w:val="D4FB8ADC"/>
    <w:rsid w:val="DBFF6FFD"/>
    <w:rsid w:val="DFFFA57E"/>
    <w:rsid w:val="E2BDDD8C"/>
    <w:rsid w:val="E6CEBE7C"/>
    <w:rsid w:val="E7EF51D9"/>
    <w:rsid w:val="EBBE7048"/>
    <w:rsid w:val="EBCE27E2"/>
    <w:rsid w:val="EBFB8409"/>
    <w:rsid w:val="F5FBF597"/>
    <w:rsid w:val="FBF96FFE"/>
    <w:rsid w:val="FBFF56D9"/>
    <w:rsid w:val="FDFB18F8"/>
    <w:rsid w:val="FF6F0840"/>
    <w:rsid w:val="FFBF64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jc w:val="both"/>
    </w:pPr>
    <w:rPr>
      <w:rFonts w:ascii="Arial" w:hAnsi="Arial" w:eastAsia="宋体" w:cstheme="minorBidi"/>
      <w:sz w:val="24"/>
      <w:szCs w:val="22"/>
      <w:lang w:val="en-US" w:eastAsia="en-US" w:bidi="ar-SA"/>
    </w:rPr>
  </w:style>
  <w:style w:type="paragraph" w:styleId="3">
    <w:name w:val="heading 1"/>
    <w:basedOn w:val="1"/>
    <w:next w:val="1"/>
    <w:link w:val="148"/>
    <w:qFormat/>
    <w:uiPriority w:val="9"/>
    <w:pPr>
      <w:keepNext/>
      <w:keepLines/>
      <w:spacing w:before="280" w:after="120" w:line="312" w:lineRule="auto"/>
      <w:jc w:val="lef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9"/>
    <w:unhideWhenUsed/>
    <w:qFormat/>
    <w:uiPriority w:val="9"/>
    <w:pPr>
      <w:keepNext/>
      <w:keepLines/>
      <w:spacing w:before="220" w:after="100" w:line="312" w:lineRule="auto"/>
      <w:jc w:val="left"/>
      <w:outlineLvl w:val="1"/>
    </w:pPr>
    <w:rPr>
      <w:rFonts w:asciiTheme="majorHAnsi" w:hAnsiTheme="majorHAnsi" w:eastAsiaTheme="majorEastAsia" w:cstheme="majorBidi"/>
      <w:b/>
      <w:bCs/>
      <w:color w:val="000000"/>
      <w:sz w:val="28"/>
      <w:szCs w:val="26"/>
    </w:rPr>
  </w:style>
  <w:style w:type="paragraph" w:styleId="5">
    <w:name w:val="heading 3"/>
    <w:basedOn w:val="1"/>
    <w:next w:val="1"/>
    <w:link w:val="150"/>
    <w:unhideWhenUsed/>
    <w:qFormat/>
    <w:uiPriority w:val="9"/>
    <w:pPr>
      <w:keepNext/>
      <w:keepLines/>
      <w:spacing w:before="180" w:after="80" w:line="312" w:lineRule="auto"/>
      <w:jc w:val="left"/>
      <w:outlineLvl w:val="2"/>
    </w:pPr>
    <w:rPr>
      <w:rFonts w:asciiTheme="majorHAnsi" w:hAnsiTheme="majorHAnsi" w:eastAsiaTheme="majorEastAsia" w:cstheme="majorBidi"/>
      <w:b/>
      <w:bCs/>
      <w:color w:val="000000"/>
    </w:rPr>
  </w:style>
  <w:style w:type="paragraph" w:styleId="6">
    <w:name w:val="heading 4"/>
    <w:basedOn w:val="1"/>
    <w:next w:val="1"/>
    <w:link w:val="16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0">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4"/>
    <w:semiHidden/>
    <w:unhideWhenUsed/>
    <w:qFormat/>
    <w:uiPriority w:val="99"/>
    <w:pPr>
      <w:jc w:val="left"/>
    </w:pPr>
  </w:style>
  <w:style w:type="paragraph" w:styleId="18">
    <w:name w:val="Body Text 3"/>
    <w:basedOn w:val="1"/>
    <w:link w:val="15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next w:val="21"/>
    <w:link w:val="154"/>
    <w:unhideWhenUsed/>
    <w:qFormat/>
    <w:uiPriority w:val="99"/>
    <w:pPr>
      <w:spacing w:after="120"/>
    </w:pPr>
  </w:style>
  <w:style w:type="paragraph" w:styleId="21">
    <w:name w:val="Body Text First Indent"/>
    <w:basedOn w:val="20"/>
    <w:qFormat/>
    <w:uiPriority w:val="99"/>
    <w:pPr>
      <w:ind w:firstLine="420" w:firstLineChars="100"/>
    </w:pPr>
    <w:rPr>
      <w:sz w:val="20"/>
      <w:szCs w:val="20"/>
    </w:r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Balloon Text"/>
    <w:basedOn w:val="1"/>
    <w:link w:val="176"/>
    <w:semiHidden/>
    <w:unhideWhenUsed/>
    <w:qFormat/>
    <w:uiPriority w:val="99"/>
    <w:pPr>
      <w:spacing w:line="240" w:lineRule="auto"/>
    </w:pPr>
    <w:rPr>
      <w:sz w:val="18"/>
      <w:szCs w:val="18"/>
    </w:rPr>
  </w:style>
  <w:style w:type="paragraph" w:styleId="27">
    <w:name w:val="footer"/>
    <w:basedOn w:val="1"/>
    <w:link w:val="146"/>
    <w:unhideWhenUsed/>
    <w:qFormat/>
    <w:uiPriority w:val="99"/>
    <w:pPr>
      <w:tabs>
        <w:tab w:val="center" w:pos="4680"/>
        <w:tab w:val="right" w:pos="9360"/>
      </w:tabs>
      <w:spacing w:line="240" w:lineRule="auto"/>
    </w:pPr>
  </w:style>
  <w:style w:type="paragraph" w:styleId="28">
    <w:name w:val="header"/>
    <w:basedOn w:val="1"/>
    <w:link w:val="145"/>
    <w:unhideWhenUsed/>
    <w:qFormat/>
    <w:uiPriority w:val="99"/>
    <w:pPr>
      <w:tabs>
        <w:tab w:val="center" w:pos="4680"/>
        <w:tab w:val="right" w:pos="9360"/>
      </w:tabs>
      <w:spacing w:line="240" w:lineRule="auto"/>
    </w:pPr>
  </w:style>
  <w:style w:type="paragraph" w:styleId="29">
    <w:name w:val="toc 1"/>
    <w:basedOn w:val="1"/>
    <w:next w:val="1"/>
    <w:unhideWhenUsed/>
    <w:qFormat/>
    <w:uiPriority w:val="39"/>
  </w:style>
  <w:style w:type="paragraph" w:styleId="30">
    <w:name w:val="Subtitle"/>
    <w:basedOn w:val="1"/>
    <w:next w:val="1"/>
    <w:link w:val="15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toc 2"/>
    <w:basedOn w:val="1"/>
    <w:next w:val="1"/>
    <w:unhideWhenUsed/>
    <w:qFormat/>
    <w:uiPriority w:val="39"/>
    <w:pPr>
      <w:ind w:left="420" w:leftChars="200"/>
    </w:pPr>
  </w:style>
  <w:style w:type="paragraph" w:styleId="33">
    <w:name w:val="Body Text 2"/>
    <w:basedOn w:val="1"/>
    <w:link w:val="155"/>
    <w:unhideWhenUsed/>
    <w:qFormat/>
    <w:uiPriority w:val="99"/>
    <w:pPr>
      <w:spacing w:after="120" w:line="480" w:lineRule="auto"/>
    </w:pPr>
  </w:style>
  <w:style w:type="paragraph" w:styleId="34">
    <w:name w:val="List Continue 2"/>
    <w:basedOn w:val="1"/>
    <w:unhideWhenUsed/>
    <w:qFormat/>
    <w:uiPriority w:val="99"/>
    <w:pPr>
      <w:spacing w:after="120"/>
      <w:ind w:left="720"/>
      <w:contextualSpacing/>
    </w:pPr>
  </w:style>
  <w:style w:type="paragraph" w:styleId="3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szCs w:val="24"/>
      <w:lang w:eastAsia="zh-CN"/>
    </w:rPr>
  </w:style>
  <w:style w:type="paragraph" w:styleId="36">
    <w:name w:val="Normal (Web)"/>
    <w:basedOn w:val="1"/>
    <w:qFormat/>
    <w:uiPriority w:val="0"/>
  </w:style>
  <w:style w:type="paragraph" w:styleId="37">
    <w:name w:val="List Continue 3"/>
    <w:basedOn w:val="1"/>
    <w:unhideWhenUsed/>
    <w:qFormat/>
    <w:uiPriority w:val="99"/>
    <w:pPr>
      <w:spacing w:after="120"/>
      <w:ind w:left="1080"/>
      <w:contextualSpacing/>
    </w:pPr>
  </w:style>
  <w:style w:type="paragraph" w:styleId="38">
    <w:name w:val="Title"/>
    <w:basedOn w:val="1"/>
    <w:next w:val="1"/>
    <w:link w:val="15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9">
    <w:name w:val="annotation subject"/>
    <w:basedOn w:val="17"/>
    <w:next w:val="17"/>
    <w:link w:val="175"/>
    <w:semiHidden/>
    <w:unhideWhenUsed/>
    <w:qFormat/>
    <w:uiPriority w:val="99"/>
    <w:rPr>
      <w:b/>
      <w:bCs/>
    </w:r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w:basedOn w:val="40"/>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3">
    <w:name w:val="Light Shading Accent 1"/>
    <w:basedOn w:val="40"/>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Shading Accent 2"/>
    <w:basedOn w:val="40"/>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5">
    <w:name w:val="Light Shading Accent 3"/>
    <w:basedOn w:val="40"/>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6">
    <w:name w:val="Light Shading Accent 4"/>
    <w:basedOn w:val="40"/>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7">
    <w:name w:val="Light Shading Accent 5"/>
    <w:basedOn w:val="40"/>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8">
    <w:name w:val="Light Shading Accent 6"/>
    <w:basedOn w:val="40"/>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9">
    <w:name w:val="Light List"/>
    <w:basedOn w:val="40"/>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0">
    <w:name w:val="Light List Accent 1"/>
    <w:basedOn w:val="40"/>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1">
    <w:name w:val="Light List Accent 2"/>
    <w:basedOn w:val="4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2">
    <w:name w:val="Light List Accent 3"/>
    <w:basedOn w:val="40"/>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3">
    <w:name w:val="Light List Accent 4"/>
    <w:basedOn w:val="40"/>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4">
    <w:name w:val="Light List Accent 5"/>
    <w:basedOn w:val="40"/>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5">
    <w:name w:val="Light List Accent 6"/>
    <w:basedOn w:val="40"/>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6">
    <w:name w:val="Light Grid"/>
    <w:basedOn w:val="40"/>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7">
    <w:name w:val="Light Grid Accent 1"/>
    <w:basedOn w:val="40"/>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8">
    <w:name w:val="Light Grid Accent 2"/>
    <w:basedOn w:val="40"/>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9">
    <w:name w:val="Light Grid Accent 3"/>
    <w:basedOn w:val="40"/>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0">
    <w:name w:val="Light Grid Accent 4"/>
    <w:basedOn w:val="40"/>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1">
    <w:name w:val="Light Grid Accent 5"/>
    <w:basedOn w:val="40"/>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2">
    <w:name w:val="Light Grid Accent 6"/>
    <w:basedOn w:val="40"/>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3">
    <w:name w:val="Medium Shading 1"/>
    <w:basedOn w:val="40"/>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4">
    <w:name w:val="Medium Shading 1 Accent 1"/>
    <w:basedOn w:val="40"/>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5">
    <w:name w:val="Medium Shading 1 Accent 2"/>
    <w:basedOn w:val="40"/>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6">
    <w:name w:val="Medium Shading 1 Accent 3"/>
    <w:basedOn w:val="40"/>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7">
    <w:name w:val="Medium Shading 1 Accent 4"/>
    <w:basedOn w:val="40"/>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8">
    <w:name w:val="Medium Shading 1 Accent 5"/>
    <w:basedOn w:val="40"/>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9">
    <w:name w:val="Medium Shading 1 Accent 6"/>
    <w:basedOn w:val="40"/>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0">
    <w:name w:val="Medium Shading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1"/>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3"/>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4"/>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5"/>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6"/>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List 1"/>
    <w:basedOn w:val="40"/>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8">
    <w:name w:val="Medium List 1 Accent 1"/>
    <w:basedOn w:val="40"/>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9">
    <w:name w:val="Medium List 1 Accent 2"/>
    <w:basedOn w:val="40"/>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0">
    <w:name w:val="Medium List 1 Accent 3"/>
    <w:basedOn w:val="40"/>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1">
    <w:name w:val="Medium List 1 Accent 4"/>
    <w:basedOn w:val="40"/>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2">
    <w:name w:val="Medium List 1 Accent 5"/>
    <w:basedOn w:val="40"/>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3">
    <w:name w:val="Medium List 1 Accent 6"/>
    <w:basedOn w:val="40"/>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4">
    <w:name w:val="Medium Lis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1"/>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3"/>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4"/>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5"/>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6"/>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Grid 1"/>
    <w:basedOn w:val="40"/>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2">
    <w:name w:val="Medium Grid 1 Accent 1"/>
    <w:basedOn w:val="40"/>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3">
    <w:name w:val="Medium Grid 1 Accent 2"/>
    <w:basedOn w:val="40"/>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4">
    <w:name w:val="Medium Grid 1 Accent 3"/>
    <w:basedOn w:val="40"/>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5">
    <w:name w:val="Medium Grid 1 Accent 4"/>
    <w:basedOn w:val="40"/>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6">
    <w:name w:val="Medium Grid 1 Accent 5"/>
    <w:basedOn w:val="40"/>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7">
    <w:name w:val="Medium Grid 1 Accent 6"/>
    <w:basedOn w:val="40"/>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8">
    <w:name w:val="Medium Grid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9">
    <w:name w:val="Medium Grid 2 Accent 1"/>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0">
    <w:name w:val="Medium Grid 2 Accent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1">
    <w:name w:val="Medium Grid 2 Accent 3"/>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2">
    <w:name w:val="Medium Grid 2 Accent 4"/>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3">
    <w:name w:val="Medium Grid 2 Accent 5"/>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4">
    <w:name w:val="Medium Grid 2 Accent 6"/>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5">
    <w:name w:val="Medium Grid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6">
    <w:name w:val="Medium Grid 3 Accent 1"/>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7">
    <w:name w:val="Medium Grid 3 Accent 2"/>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8">
    <w:name w:val="Medium Grid 3 Accent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9">
    <w:name w:val="Medium Grid 3 Accent 4"/>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0">
    <w:name w:val="Medium Grid 3 Accent 5"/>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1">
    <w:name w:val="Medium Grid 3 Accent 6"/>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2">
    <w:name w:val="Dark List"/>
    <w:basedOn w:val="40"/>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3">
    <w:name w:val="Dark List Accent 1"/>
    <w:basedOn w:val="40"/>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4">
    <w:name w:val="Dark List Accent 2"/>
    <w:basedOn w:val="40"/>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5">
    <w:name w:val="Dark List Accent 3"/>
    <w:basedOn w:val="40"/>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6">
    <w:name w:val="Dark List Accent 4"/>
    <w:basedOn w:val="40"/>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7">
    <w:name w:val="Dark List Accent 5"/>
    <w:basedOn w:val="40"/>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8">
    <w:name w:val="Dark List Accent 6"/>
    <w:basedOn w:val="40"/>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9">
    <w:name w:val="Colorful Shading"/>
    <w:basedOn w:val="40"/>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1"/>
    <w:basedOn w:val="40"/>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2"/>
    <w:basedOn w:val="40"/>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3"/>
    <w:basedOn w:val="40"/>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3">
    <w:name w:val="Colorful Shading Accent 4"/>
    <w:basedOn w:val="40"/>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5"/>
    <w:basedOn w:val="40"/>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6"/>
    <w:basedOn w:val="40"/>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List"/>
    <w:basedOn w:val="40"/>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7">
    <w:name w:val="Colorful List Accent 1"/>
    <w:basedOn w:val="40"/>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8">
    <w:name w:val="Colorful List Accent 2"/>
    <w:basedOn w:val="40"/>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9">
    <w:name w:val="Colorful List Accent 3"/>
    <w:basedOn w:val="40"/>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0">
    <w:name w:val="Colorful List Accent 4"/>
    <w:basedOn w:val="40"/>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Colorful List Accent 5"/>
    <w:basedOn w:val="40"/>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2">
    <w:name w:val="Colorful List Accent 6"/>
    <w:basedOn w:val="40"/>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3">
    <w:name w:val="Colorful Grid"/>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4">
    <w:name w:val="Colorful Grid Accent 1"/>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5">
    <w:name w:val="Colorful Grid Accent 2"/>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6">
    <w:name w:val="Colorful Grid Accent 3"/>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7">
    <w:name w:val="Colorful Grid Accent 4"/>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8">
    <w:name w:val="Colorful Grid Accent 5"/>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9">
    <w:name w:val="Colorful Grid Accent 6"/>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1">
    <w:name w:val="Strong"/>
    <w:basedOn w:val="140"/>
    <w:qFormat/>
    <w:uiPriority w:val="22"/>
    <w:rPr>
      <w:b/>
      <w:bCs/>
    </w:rPr>
  </w:style>
  <w:style w:type="character" w:styleId="142">
    <w:name w:val="Emphasis"/>
    <w:basedOn w:val="140"/>
    <w:qFormat/>
    <w:uiPriority w:val="20"/>
    <w:rPr>
      <w:i/>
      <w:iCs/>
    </w:rPr>
  </w:style>
  <w:style w:type="character" w:styleId="143">
    <w:name w:val="Hyperlink"/>
    <w:basedOn w:val="140"/>
    <w:unhideWhenUsed/>
    <w:qFormat/>
    <w:uiPriority w:val="99"/>
    <w:rPr>
      <w:color w:val="0000FF" w:themeColor="hyperlink"/>
      <w:u w:val="single"/>
      <w14:textFill>
        <w14:solidFill>
          <w14:schemeClr w14:val="hlink"/>
        </w14:solidFill>
      </w14:textFill>
    </w:rPr>
  </w:style>
  <w:style w:type="character" w:styleId="144">
    <w:name w:val="annotation reference"/>
    <w:basedOn w:val="140"/>
    <w:semiHidden/>
    <w:unhideWhenUsed/>
    <w:qFormat/>
    <w:uiPriority w:val="99"/>
    <w:rPr>
      <w:sz w:val="21"/>
      <w:szCs w:val="21"/>
    </w:rPr>
  </w:style>
  <w:style w:type="character" w:customStyle="1" w:styleId="145">
    <w:name w:val="页眉 字符"/>
    <w:basedOn w:val="140"/>
    <w:link w:val="28"/>
    <w:qFormat/>
    <w:uiPriority w:val="99"/>
  </w:style>
  <w:style w:type="character" w:customStyle="1" w:styleId="146">
    <w:name w:val="页脚 字符"/>
    <w:basedOn w:val="140"/>
    <w:link w:val="27"/>
    <w:qFormat/>
    <w:uiPriority w:val="99"/>
  </w:style>
  <w:style w:type="paragraph" w:styleId="147">
    <w:name w:val="No Spacing"/>
    <w:qFormat/>
    <w:uiPriority w:val="1"/>
    <w:rPr>
      <w:rFonts w:asciiTheme="minorHAnsi" w:hAnsiTheme="minorHAnsi" w:eastAsiaTheme="minorEastAsia" w:cstheme="minorBidi"/>
      <w:sz w:val="22"/>
      <w:szCs w:val="22"/>
      <w:lang w:val="en-US" w:eastAsia="en-US" w:bidi="ar-SA"/>
    </w:rPr>
  </w:style>
  <w:style w:type="character" w:customStyle="1" w:styleId="148">
    <w:name w:val="标题 1 字符"/>
    <w:basedOn w:val="140"/>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9">
    <w:name w:val="标题 2 字符"/>
    <w:basedOn w:val="140"/>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0">
    <w:name w:val="标题 3 字符"/>
    <w:basedOn w:val="140"/>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1">
    <w:name w:val="标题 字符"/>
    <w:basedOn w:val="140"/>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2">
    <w:name w:val="副标题 字符"/>
    <w:basedOn w:val="140"/>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3">
    <w:name w:val="List Paragraph"/>
    <w:basedOn w:val="1"/>
    <w:qFormat/>
    <w:uiPriority w:val="34"/>
    <w:pPr>
      <w:ind w:left="720"/>
      <w:contextualSpacing/>
    </w:pPr>
  </w:style>
  <w:style w:type="character" w:customStyle="1" w:styleId="154">
    <w:name w:val="正文文本 字符"/>
    <w:basedOn w:val="140"/>
    <w:link w:val="20"/>
    <w:qFormat/>
    <w:uiPriority w:val="99"/>
  </w:style>
  <w:style w:type="character" w:customStyle="1" w:styleId="155">
    <w:name w:val="正文文本 2 字符"/>
    <w:basedOn w:val="140"/>
    <w:link w:val="33"/>
    <w:qFormat/>
    <w:uiPriority w:val="99"/>
  </w:style>
  <w:style w:type="character" w:customStyle="1" w:styleId="156">
    <w:name w:val="正文文本 3 字符"/>
    <w:basedOn w:val="140"/>
    <w:link w:val="18"/>
    <w:qFormat/>
    <w:uiPriority w:val="99"/>
    <w:rPr>
      <w:sz w:val="16"/>
      <w:szCs w:val="16"/>
    </w:rPr>
  </w:style>
  <w:style w:type="character" w:customStyle="1" w:styleId="157">
    <w:name w:val="宏文本 字符"/>
    <w:basedOn w:val="140"/>
    <w:link w:val="2"/>
    <w:qFormat/>
    <w:uiPriority w:val="99"/>
    <w:rPr>
      <w:rFonts w:ascii="Courier" w:hAnsi="Courier"/>
      <w:sz w:val="20"/>
      <w:szCs w:val="20"/>
    </w:rPr>
  </w:style>
  <w:style w:type="paragraph" w:styleId="158">
    <w:name w:val="Quote"/>
    <w:basedOn w:val="1"/>
    <w:next w:val="1"/>
    <w:link w:val="159"/>
    <w:qFormat/>
    <w:uiPriority w:val="29"/>
    <w:rPr>
      <w:i/>
      <w:iCs/>
      <w:color w:val="000000" w:themeColor="text1"/>
      <w14:textFill>
        <w14:solidFill>
          <w14:schemeClr w14:val="tx1"/>
        </w14:solidFill>
      </w14:textFill>
    </w:rPr>
  </w:style>
  <w:style w:type="character" w:customStyle="1" w:styleId="159">
    <w:name w:val="引用 字符"/>
    <w:basedOn w:val="140"/>
    <w:link w:val="158"/>
    <w:qFormat/>
    <w:uiPriority w:val="29"/>
    <w:rPr>
      <w:i/>
      <w:iCs/>
      <w:color w:val="000000" w:themeColor="text1"/>
      <w14:textFill>
        <w14:solidFill>
          <w14:schemeClr w14:val="tx1"/>
        </w14:solidFill>
      </w14:textFill>
    </w:rPr>
  </w:style>
  <w:style w:type="character" w:customStyle="1" w:styleId="160">
    <w:name w:val="标题 4 字符"/>
    <w:basedOn w:val="140"/>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1">
    <w:name w:val="标题 5 字符"/>
    <w:basedOn w:val="140"/>
    <w:link w:val="7"/>
    <w:semiHidden/>
    <w:qFormat/>
    <w:uiPriority w:val="9"/>
    <w:rPr>
      <w:rFonts w:asciiTheme="majorHAnsi" w:hAnsiTheme="majorHAnsi" w:eastAsiaTheme="majorEastAsia" w:cstheme="majorBidi"/>
      <w:color w:val="254061" w:themeColor="accent1" w:themeShade="80"/>
    </w:rPr>
  </w:style>
  <w:style w:type="character" w:customStyle="1" w:styleId="162">
    <w:name w:val="标题 6 字符"/>
    <w:basedOn w:val="140"/>
    <w:link w:val="8"/>
    <w:semiHidden/>
    <w:qFormat/>
    <w:uiPriority w:val="9"/>
    <w:rPr>
      <w:rFonts w:asciiTheme="majorHAnsi" w:hAnsiTheme="majorHAnsi" w:eastAsiaTheme="majorEastAsia" w:cstheme="majorBidi"/>
      <w:i/>
      <w:iCs/>
      <w:color w:val="254061" w:themeColor="accent1" w:themeShade="80"/>
    </w:rPr>
  </w:style>
  <w:style w:type="character" w:customStyle="1" w:styleId="163">
    <w:name w:val="标题 7 字符"/>
    <w:basedOn w:val="140"/>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4">
    <w:name w:val="标题 8 字符"/>
    <w:basedOn w:val="140"/>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标题 9 字符"/>
    <w:basedOn w:val="140"/>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6">
    <w:name w:val="Intense Quote"/>
    <w:basedOn w:val="1"/>
    <w:next w:val="1"/>
    <w:link w:val="1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7">
    <w:name w:val="明显引用 字符"/>
    <w:basedOn w:val="140"/>
    <w:link w:val="166"/>
    <w:qFormat/>
    <w:uiPriority w:val="30"/>
    <w:rPr>
      <w:b/>
      <w:bCs/>
      <w:i/>
      <w:iCs/>
      <w:color w:val="4F81BD" w:themeColor="accent1"/>
      <w14:textFill>
        <w14:solidFill>
          <w14:schemeClr w14:val="accent1"/>
        </w14:solidFill>
      </w14:textFill>
    </w:rPr>
  </w:style>
  <w:style w:type="character" w:customStyle="1" w:styleId="168">
    <w:name w:val="不明显强调1"/>
    <w:basedOn w:val="140"/>
    <w:qFormat/>
    <w:uiPriority w:val="19"/>
    <w:rPr>
      <w:i/>
      <w:iCs/>
      <w:color w:val="808080" w:themeColor="text1" w:themeTint="80"/>
      <w14:textFill>
        <w14:solidFill>
          <w14:schemeClr w14:val="tx1">
            <w14:lumMod w14:val="50000"/>
            <w14:lumOff w14:val="50000"/>
          </w14:schemeClr>
        </w14:solidFill>
      </w14:textFill>
    </w:rPr>
  </w:style>
  <w:style w:type="character" w:customStyle="1" w:styleId="169">
    <w:name w:val="明显强调1"/>
    <w:basedOn w:val="140"/>
    <w:qFormat/>
    <w:uiPriority w:val="21"/>
    <w:rPr>
      <w:b/>
      <w:bCs/>
      <w:i/>
      <w:iCs/>
      <w:color w:val="4F81BD" w:themeColor="accent1"/>
      <w14:textFill>
        <w14:solidFill>
          <w14:schemeClr w14:val="accent1"/>
        </w14:solidFill>
      </w14:textFill>
    </w:rPr>
  </w:style>
  <w:style w:type="character" w:customStyle="1" w:styleId="170">
    <w:name w:val="不明显参考1"/>
    <w:basedOn w:val="140"/>
    <w:qFormat/>
    <w:uiPriority w:val="31"/>
    <w:rPr>
      <w:smallCaps/>
      <w:color w:val="C0504D" w:themeColor="accent2"/>
      <w:u w:val="single"/>
      <w14:textFill>
        <w14:solidFill>
          <w14:schemeClr w14:val="accent2"/>
        </w14:solidFill>
      </w14:textFill>
    </w:rPr>
  </w:style>
  <w:style w:type="character" w:customStyle="1" w:styleId="171">
    <w:name w:val="明显参考1"/>
    <w:basedOn w:val="140"/>
    <w:qFormat/>
    <w:uiPriority w:val="32"/>
    <w:rPr>
      <w:b/>
      <w:bCs/>
      <w:smallCaps/>
      <w:color w:val="C0504D" w:themeColor="accent2"/>
      <w:spacing w:val="5"/>
      <w:u w:val="single"/>
      <w14:textFill>
        <w14:solidFill>
          <w14:schemeClr w14:val="accent2"/>
        </w14:solidFill>
      </w14:textFill>
    </w:rPr>
  </w:style>
  <w:style w:type="character" w:customStyle="1" w:styleId="172">
    <w:name w:val="书籍标题1"/>
    <w:basedOn w:val="140"/>
    <w:qFormat/>
    <w:uiPriority w:val="33"/>
    <w:rPr>
      <w:b/>
      <w:bCs/>
      <w:smallCaps/>
      <w:spacing w:val="5"/>
    </w:rPr>
  </w:style>
  <w:style w:type="paragraph" w:customStyle="1" w:styleId="173">
    <w:name w:val="TOC 标题1"/>
    <w:basedOn w:val="3"/>
    <w:next w:val="1"/>
    <w:semiHidden/>
    <w:unhideWhenUsed/>
    <w:qFormat/>
    <w:uiPriority w:val="39"/>
    <w:pPr>
      <w:outlineLvl w:val="9"/>
    </w:pPr>
  </w:style>
  <w:style w:type="character" w:customStyle="1" w:styleId="174">
    <w:name w:val="批注文字 字符"/>
    <w:basedOn w:val="140"/>
    <w:link w:val="17"/>
    <w:semiHidden/>
    <w:qFormat/>
    <w:uiPriority w:val="99"/>
    <w:rPr>
      <w:rFonts w:ascii="Arial" w:hAnsi="Arial" w:eastAsia="宋体"/>
      <w:sz w:val="24"/>
    </w:rPr>
  </w:style>
  <w:style w:type="character" w:customStyle="1" w:styleId="175">
    <w:name w:val="批注主题 字符"/>
    <w:basedOn w:val="174"/>
    <w:link w:val="39"/>
    <w:semiHidden/>
    <w:qFormat/>
    <w:uiPriority w:val="99"/>
    <w:rPr>
      <w:rFonts w:ascii="Arial" w:hAnsi="Arial" w:eastAsia="宋体"/>
      <w:b/>
      <w:bCs/>
      <w:sz w:val="24"/>
    </w:rPr>
  </w:style>
  <w:style w:type="character" w:customStyle="1" w:styleId="176">
    <w:name w:val="批注框文本 字符"/>
    <w:basedOn w:val="140"/>
    <w:link w:val="26"/>
    <w:semiHidden/>
    <w:qFormat/>
    <w:uiPriority w:val="99"/>
    <w:rPr>
      <w:rFonts w:ascii="Arial" w:hAnsi="Arial" w:eastAsia="宋体"/>
      <w:sz w:val="18"/>
      <w:szCs w:val="18"/>
    </w:rPr>
  </w:style>
  <w:style w:type="paragraph" w:customStyle="1" w:styleId="17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8">
    <w:name w:val="列出段落1"/>
    <w:basedOn w:val="1"/>
    <w:qFormat/>
    <w:uiPriority w:val="34"/>
    <w:pPr>
      <w:numPr>
        <w:ilvl w:val="0"/>
        <w:numId w:val="7"/>
      </w:numPr>
      <w:spacing w:line="300" w:lineRule="auto"/>
      <w:jc w:val="left"/>
    </w:pPr>
  </w:style>
  <w:style w:type="paragraph" w:customStyle="1" w:styleId="179">
    <w:name w:val="表格文字"/>
    <w:basedOn w:val="1"/>
    <w:next w:val="20"/>
    <w:qFormat/>
    <w:uiPriority w:val="0"/>
    <w:pPr>
      <w:snapToGrid w:val="0"/>
      <w:spacing w:before="120"/>
    </w:pPr>
    <w:rPr>
      <w:szCs w:val="20"/>
      <w:lang w:bidi="he-IL"/>
    </w:rPr>
  </w:style>
  <w:style w:type="paragraph" w:customStyle="1" w:styleId="180">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2215</Words>
  <Characters>2674</Characters>
  <Lines>37</Lines>
  <Paragraphs>10</Paragraphs>
  <TotalTime>3</TotalTime>
  <ScaleCrop>false</ScaleCrop>
  <LinksUpToDate>false</LinksUpToDate>
  <CharactersWithSpaces>2747</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2026-09-08T00:26:00Z</dcterms:created>
  <dc:creator>python-docx</dc:creator>
  <dc:description>generated by python-docx</dc:description>
  <cp:lastModifiedBy></cp:lastModifiedBy>
  <dcterms:modified xsi:type="dcterms:W3CDTF">2026-10-10T08:22:17Z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eyJoZGlkIjoiNzUwMDg5ZTUwYTVkYTM5MDA3Yzk5NTdhZTcwNmJlMTMiLCJ1c2VySWQiOiI2ODk0MDM5MzMifQ==</vt:lpwstr>
  </property>
  <property fmtid="{D5CDD505-2E9C-101B-9397-08002B2CF9AE}" pid="3" name="KSOProductBuildVer">
    <vt:lpwstr>2052-12.1.0.26885</vt:lpwstr>
  </property>
  <property fmtid="{D5CDD505-2E9C-101B-9397-08002B2CF9AE}" pid="4" name="ICV">
    <vt:lpwstr>6FF6658790FB4475A50BDD97225D2D30_13</vt:lpwstr>
  </property>
</Properties>
</file>